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西北农林科技大学资源环境学院</w:t>
      </w:r>
    </w:p>
    <w:p>
      <w:pPr>
        <w:spacing w:after="120" w:line="360" w:lineRule="auto"/>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“中环科千一奖学金”评定管理办法</w:t>
      </w:r>
    </w:p>
    <w:p>
      <w:pPr>
        <w:spacing w:line="560" w:lineRule="exact"/>
        <w:rPr>
          <w:rFonts w:ascii="华文仿宋" w:hAnsi="华文仿宋" w:eastAsia="华文仿宋"/>
          <w:color w:val="auto"/>
          <w:sz w:val="28"/>
          <w:szCs w:val="28"/>
          <w:highlight w:val="none"/>
        </w:rPr>
      </w:pPr>
      <w:r>
        <w:rPr>
          <w:rFonts w:hint="eastAsia" w:ascii="仿宋" w:hAnsi="仿宋" w:eastAsia="仿宋"/>
          <w:color w:val="auto"/>
          <w:sz w:val="28"/>
          <w:szCs w:val="28"/>
          <w:highlight w:val="none"/>
        </w:rPr>
        <w:t xml:space="preserve">    </w:t>
      </w:r>
      <w:r>
        <w:rPr>
          <w:rFonts w:hint="eastAsia" w:ascii="华文仿宋" w:hAnsi="华文仿宋" w:eastAsia="华文仿宋"/>
          <w:b/>
          <w:color w:val="auto"/>
          <w:sz w:val="28"/>
          <w:szCs w:val="28"/>
          <w:highlight w:val="none"/>
        </w:rPr>
        <w:t>第一条</w:t>
      </w:r>
      <w:r>
        <w:rPr>
          <w:rFonts w:hint="eastAsia" w:ascii="华文仿宋" w:hAnsi="华文仿宋" w:eastAsia="华文仿宋"/>
          <w:color w:val="auto"/>
          <w:sz w:val="28"/>
          <w:szCs w:val="28"/>
          <w:highlight w:val="none"/>
        </w:rPr>
        <w:t xml:space="preserve">  为更好地培养创新型人才，鼓励学生多样性与个性化发展，</w:t>
      </w:r>
      <w:r>
        <w:rPr>
          <w:rFonts w:ascii="华文仿宋" w:hAnsi="华文仿宋" w:eastAsia="华文仿宋"/>
          <w:color w:val="auto"/>
          <w:sz w:val="28"/>
          <w:szCs w:val="28"/>
          <w:highlight w:val="none"/>
        </w:rPr>
        <w:t xml:space="preserve"> </w:t>
      </w:r>
      <w:r>
        <w:rPr>
          <w:rFonts w:hint="eastAsia" w:ascii="华文仿宋" w:hAnsi="华文仿宋" w:eastAsia="华文仿宋"/>
          <w:color w:val="auto"/>
          <w:sz w:val="28"/>
          <w:szCs w:val="28"/>
          <w:highlight w:val="none"/>
        </w:rPr>
        <w:t>促进在各方面有优秀表现的学生成长成才、全面发展，北京中环科环境股份有限公司捐资在西北农林科技大学资源环境学院（以下简称学院）设立“中环科千一奖学金”。为做好奖学金的评定及发放工作，现结合学院实际，制定本办法。</w:t>
      </w:r>
    </w:p>
    <w:p>
      <w:pPr>
        <w:spacing w:line="560" w:lineRule="exact"/>
        <w:rPr>
          <w:rFonts w:ascii="华文仿宋" w:hAnsi="华文仿宋" w:eastAsia="华文仿宋"/>
          <w:color w:val="auto"/>
          <w:sz w:val="28"/>
          <w:szCs w:val="28"/>
          <w:highlight w:val="none"/>
        </w:rPr>
      </w:pPr>
      <w:r>
        <w:rPr>
          <w:rFonts w:hint="eastAsia" w:ascii="华文仿宋" w:hAnsi="华文仿宋" w:eastAsia="华文仿宋"/>
          <w:color w:val="auto"/>
          <w:sz w:val="28"/>
          <w:szCs w:val="28"/>
          <w:highlight w:val="none"/>
        </w:rPr>
        <w:t xml:space="preserve">    </w:t>
      </w:r>
      <w:r>
        <w:rPr>
          <w:rFonts w:hint="eastAsia" w:ascii="华文仿宋" w:hAnsi="华文仿宋" w:eastAsia="华文仿宋"/>
          <w:b/>
          <w:color w:val="auto"/>
          <w:sz w:val="28"/>
          <w:szCs w:val="28"/>
          <w:highlight w:val="none"/>
        </w:rPr>
        <w:t>第二条</w:t>
      </w:r>
      <w:r>
        <w:rPr>
          <w:rFonts w:hint="eastAsia" w:ascii="华文仿宋" w:hAnsi="华文仿宋" w:eastAsia="华文仿宋"/>
          <w:color w:val="auto"/>
          <w:sz w:val="28"/>
          <w:szCs w:val="28"/>
          <w:highlight w:val="none"/>
        </w:rPr>
        <w:t xml:space="preserve">  奖励对象为学院品学兼优的三、四年级全日制在校本科生和非在职学制内研究生、博士生，环境科学与环境工程专业，奖励标准为2018、2019年每生每年</w:t>
      </w:r>
      <w:r>
        <w:rPr>
          <w:rFonts w:ascii="华文仿宋" w:hAnsi="华文仿宋" w:eastAsia="华文仿宋"/>
          <w:color w:val="auto"/>
          <w:sz w:val="28"/>
          <w:szCs w:val="28"/>
          <w:highlight w:val="none"/>
        </w:rPr>
        <w:t>4000</w:t>
      </w:r>
      <w:r>
        <w:rPr>
          <w:rFonts w:hint="eastAsia" w:ascii="华文仿宋" w:hAnsi="华文仿宋" w:eastAsia="华文仿宋"/>
          <w:color w:val="auto"/>
          <w:sz w:val="28"/>
          <w:szCs w:val="28"/>
          <w:highlight w:val="none"/>
        </w:rPr>
        <w:t>元人民币，2020、2021、2022年每生每年6</w:t>
      </w:r>
      <w:r>
        <w:rPr>
          <w:rFonts w:ascii="华文仿宋" w:hAnsi="华文仿宋" w:eastAsia="华文仿宋"/>
          <w:color w:val="auto"/>
          <w:sz w:val="28"/>
          <w:szCs w:val="28"/>
          <w:highlight w:val="none"/>
        </w:rPr>
        <w:t>000</w:t>
      </w:r>
      <w:r>
        <w:rPr>
          <w:rFonts w:hint="eastAsia" w:ascii="华文仿宋" w:hAnsi="华文仿宋" w:eastAsia="华文仿宋"/>
          <w:color w:val="auto"/>
          <w:sz w:val="28"/>
          <w:szCs w:val="28"/>
          <w:highlight w:val="none"/>
        </w:rPr>
        <w:t>元人民币，每年奖励名额为5名。</w:t>
      </w:r>
    </w:p>
    <w:p>
      <w:pPr>
        <w:spacing w:line="560" w:lineRule="exact"/>
        <w:rPr>
          <w:rFonts w:ascii="华文仿宋" w:hAnsi="华文仿宋" w:eastAsia="华文仿宋"/>
          <w:color w:val="auto"/>
          <w:sz w:val="28"/>
          <w:szCs w:val="28"/>
          <w:highlight w:val="none"/>
        </w:rPr>
      </w:pPr>
      <w:r>
        <w:rPr>
          <w:rFonts w:hint="eastAsia" w:ascii="华文仿宋" w:hAnsi="华文仿宋" w:eastAsia="华文仿宋"/>
          <w:color w:val="auto"/>
          <w:sz w:val="28"/>
          <w:szCs w:val="28"/>
          <w:highlight w:val="none"/>
        </w:rPr>
        <w:t xml:space="preserve">    </w:t>
      </w:r>
      <w:r>
        <w:rPr>
          <w:rFonts w:hint="eastAsia" w:ascii="华文仿宋" w:hAnsi="华文仿宋" w:eastAsia="华文仿宋"/>
          <w:b/>
          <w:color w:val="auto"/>
          <w:sz w:val="28"/>
          <w:szCs w:val="28"/>
          <w:highlight w:val="none"/>
        </w:rPr>
        <w:t>第三条</w:t>
      </w:r>
      <w:r>
        <w:rPr>
          <w:rFonts w:hint="eastAsia" w:ascii="华文仿宋" w:hAnsi="华文仿宋" w:eastAsia="华文仿宋"/>
          <w:color w:val="auto"/>
          <w:sz w:val="28"/>
          <w:szCs w:val="28"/>
          <w:highlight w:val="none"/>
        </w:rPr>
        <w:t xml:space="preserve">  学院负责“中环科千一奖学金”学生评定、推荐及其它管理工作。</w:t>
      </w:r>
    </w:p>
    <w:p>
      <w:pPr>
        <w:spacing w:line="560" w:lineRule="exact"/>
        <w:ind w:firstLine="560"/>
        <w:rPr>
          <w:rFonts w:ascii="华文仿宋" w:hAnsi="华文仿宋" w:eastAsia="华文仿宋"/>
          <w:color w:val="auto"/>
          <w:sz w:val="28"/>
          <w:szCs w:val="28"/>
          <w:highlight w:val="none"/>
        </w:rPr>
      </w:pPr>
      <w:r>
        <w:rPr>
          <w:rFonts w:hint="eastAsia" w:ascii="华文仿宋" w:hAnsi="华文仿宋" w:eastAsia="华文仿宋"/>
          <w:b/>
          <w:color w:val="auto"/>
          <w:sz w:val="28"/>
          <w:szCs w:val="28"/>
          <w:highlight w:val="none"/>
        </w:rPr>
        <w:t>第四条</w:t>
      </w:r>
      <w:r>
        <w:rPr>
          <w:rFonts w:ascii="华文仿宋" w:hAnsi="华文仿宋" w:eastAsia="华文仿宋"/>
          <w:color w:val="auto"/>
          <w:sz w:val="28"/>
          <w:szCs w:val="28"/>
          <w:highlight w:val="none"/>
        </w:rPr>
        <w:t xml:space="preserve">  </w:t>
      </w:r>
      <w:r>
        <w:rPr>
          <w:rFonts w:hint="eastAsia" w:ascii="华文仿宋" w:hAnsi="华文仿宋" w:eastAsia="华文仿宋"/>
          <w:color w:val="auto"/>
          <w:sz w:val="28"/>
          <w:szCs w:val="28"/>
          <w:highlight w:val="none"/>
        </w:rPr>
        <w:t>“中环科千一奖学金”评选基本条件</w:t>
      </w:r>
      <w:r>
        <w:rPr>
          <w:rFonts w:ascii="华文仿宋" w:hAnsi="华文仿宋" w:eastAsia="华文仿宋"/>
          <w:color w:val="auto"/>
          <w:sz w:val="28"/>
          <w:szCs w:val="28"/>
          <w:highlight w:val="none"/>
        </w:rPr>
        <w:t xml:space="preserve"> </w:t>
      </w:r>
    </w:p>
    <w:p>
      <w:pPr>
        <w:spacing w:line="560" w:lineRule="exact"/>
        <w:ind w:firstLine="560"/>
        <w:rPr>
          <w:rFonts w:ascii="华文仿宋" w:hAnsi="华文仿宋" w:eastAsia="华文仿宋"/>
          <w:color w:val="auto"/>
          <w:sz w:val="28"/>
          <w:szCs w:val="28"/>
          <w:highlight w:val="none"/>
        </w:rPr>
      </w:pPr>
      <w:r>
        <w:rPr>
          <w:rFonts w:hint="eastAsia" w:ascii="华文仿宋" w:hAnsi="华文仿宋" w:eastAsia="华文仿宋"/>
          <w:color w:val="auto"/>
          <w:sz w:val="28"/>
          <w:szCs w:val="28"/>
          <w:highlight w:val="none"/>
          <w:lang w:eastAsia="zh-CN"/>
        </w:rPr>
        <w:t>（</w:t>
      </w:r>
      <w:r>
        <w:rPr>
          <w:rFonts w:hint="eastAsia" w:ascii="华文仿宋" w:hAnsi="华文仿宋" w:eastAsia="华文仿宋"/>
          <w:color w:val="auto"/>
          <w:sz w:val="28"/>
          <w:szCs w:val="28"/>
          <w:highlight w:val="none"/>
          <w:lang w:val="en-US" w:eastAsia="zh-CN"/>
        </w:rPr>
        <w:t>一</w:t>
      </w:r>
      <w:r>
        <w:rPr>
          <w:rFonts w:hint="eastAsia" w:ascii="华文仿宋" w:hAnsi="华文仿宋" w:eastAsia="华文仿宋"/>
          <w:color w:val="auto"/>
          <w:sz w:val="28"/>
          <w:szCs w:val="28"/>
          <w:highlight w:val="none"/>
          <w:lang w:eastAsia="zh-CN"/>
        </w:rPr>
        <w:t>）</w:t>
      </w:r>
      <w:r>
        <w:rPr>
          <w:rFonts w:hint="eastAsia" w:ascii="华文仿宋" w:hAnsi="华文仿宋" w:eastAsia="华文仿宋"/>
          <w:color w:val="auto"/>
          <w:sz w:val="28"/>
          <w:szCs w:val="28"/>
          <w:highlight w:val="none"/>
        </w:rPr>
        <w:t>政治素质可靠</w:t>
      </w:r>
      <w:r>
        <w:rPr>
          <w:rFonts w:ascii="华文仿宋" w:hAnsi="华文仿宋" w:eastAsia="华文仿宋"/>
          <w:color w:val="auto"/>
          <w:sz w:val="28"/>
          <w:szCs w:val="28"/>
          <w:highlight w:val="none"/>
        </w:rPr>
        <w:t xml:space="preserve">: </w:t>
      </w:r>
      <w:r>
        <w:rPr>
          <w:rFonts w:hint="eastAsia" w:ascii="华文仿宋" w:hAnsi="华文仿宋" w:eastAsia="华文仿宋"/>
          <w:color w:val="auto"/>
          <w:sz w:val="28"/>
          <w:szCs w:val="28"/>
          <w:highlight w:val="none"/>
        </w:rPr>
        <w:t>遵守宪法和法律，坚持四项基本原则，拥护党的路线、方针和政策，关心国家大事，政治上积极要求上进，无偏激言行。</w:t>
      </w:r>
    </w:p>
    <w:p>
      <w:pPr>
        <w:spacing w:line="560" w:lineRule="exact"/>
        <w:ind w:firstLine="560"/>
        <w:rPr>
          <w:rFonts w:ascii="华文仿宋" w:hAnsi="华文仿宋" w:eastAsia="华文仿宋"/>
          <w:color w:val="auto"/>
          <w:sz w:val="28"/>
          <w:szCs w:val="28"/>
          <w:highlight w:val="none"/>
        </w:rPr>
      </w:pPr>
      <w:r>
        <w:rPr>
          <w:rFonts w:hint="eastAsia" w:ascii="华文仿宋" w:hAnsi="华文仿宋" w:eastAsia="华文仿宋"/>
          <w:color w:val="auto"/>
          <w:sz w:val="28"/>
          <w:szCs w:val="28"/>
          <w:highlight w:val="none"/>
          <w:lang w:eastAsia="zh-CN"/>
        </w:rPr>
        <w:t>（</w:t>
      </w:r>
      <w:r>
        <w:rPr>
          <w:rFonts w:hint="eastAsia" w:ascii="华文仿宋" w:hAnsi="华文仿宋" w:eastAsia="华文仿宋"/>
          <w:color w:val="auto"/>
          <w:sz w:val="28"/>
          <w:szCs w:val="28"/>
          <w:highlight w:val="none"/>
          <w:lang w:val="en-US" w:eastAsia="zh-CN"/>
        </w:rPr>
        <w:t>二</w:t>
      </w:r>
      <w:r>
        <w:rPr>
          <w:rFonts w:hint="eastAsia" w:ascii="华文仿宋" w:hAnsi="华文仿宋" w:eastAsia="华文仿宋"/>
          <w:color w:val="auto"/>
          <w:sz w:val="28"/>
          <w:szCs w:val="28"/>
          <w:highlight w:val="none"/>
          <w:lang w:eastAsia="zh-CN"/>
        </w:rPr>
        <w:t>）</w:t>
      </w:r>
      <w:r>
        <w:rPr>
          <w:rFonts w:hint="eastAsia" w:ascii="华文仿宋" w:hAnsi="华文仿宋" w:eastAsia="华文仿宋"/>
          <w:color w:val="auto"/>
          <w:sz w:val="28"/>
          <w:szCs w:val="28"/>
          <w:highlight w:val="none"/>
        </w:rPr>
        <w:t>思想品德端正: 思想健康，品行</w:t>
      </w:r>
      <w:r>
        <w:rPr>
          <w:rFonts w:ascii="华文仿宋" w:hAnsi="华文仿宋" w:eastAsia="华文仿宋"/>
          <w:color w:val="auto"/>
          <w:sz w:val="28"/>
          <w:szCs w:val="28"/>
          <w:highlight w:val="none"/>
        </w:rPr>
        <w:t>正派</w:t>
      </w:r>
      <w:r>
        <w:rPr>
          <w:rFonts w:hint="eastAsia" w:ascii="华文仿宋" w:hAnsi="华文仿宋" w:eastAsia="华文仿宋"/>
          <w:color w:val="auto"/>
          <w:sz w:val="28"/>
          <w:szCs w:val="28"/>
          <w:highlight w:val="none"/>
        </w:rPr>
        <w:t>，举止文明，讲究社会公德，</w:t>
      </w:r>
      <w:r>
        <w:rPr>
          <w:rFonts w:ascii="华文仿宋" w:hAnsi="华文仿宋" w:eastAsia="华文仿宋"/>
          <w:color w:val="auto"/>
          <w:sz w:val="28"/>
          <w:szCs w:val="28"/>
          <w:highlight w:val="none"/>
        </w:rPr>
        <w:t xml:space="preserve"> </w:t>
      </w:r>
      <w:r>
        <w:rPr>
          <w:rFonts w:hint="eastAsia" w:ascii="华文仿宋" w:hAnsi="华文仿宋" w:eastAsia="华文仿宋"/>
          <w:color w:val="auto"/>
          <w:sz w:val="28"/>
          <w:szCs w:val="28"/>
          <w:highlight w:val="none"/>
        </w:rPr>
        <w:t>为人正直诚实守信，自觉遵守大学生守则和学校各项规章制度。</w:t>
      </w:r>
    </w:p>
    <w:p>
      <w:pPr>
        <w:spacing w:line="560" w:lineRule="exact"/>
        <w:rPr>
          <w:rFonts w:ascii="华文仿宋" w:hAnsi="华文仿宋" w:eastAsia="华文仿宋"/>
          <w:color w:val="auto"/>
          <w:sz w:val="28"/>
          <w:szCs w:val="28"/>
          <w:highlight w:val="none"/>
        </w:rPr>
      </w:pPr>
      <w:r>
        <w:rPr>
          <w:rFonts w:ascii="华文仿宋" w:hAnsi="华文仿宋" w:eastAsia="华文仿宋"/>
          <w:color w:val="auto"/>
          <w:sz w:val="28"/>
          <w:szCs w:val="28"/>
          <w:highlight w:val="none"/>
        </w:rPr>
        <w:t xml:space="preserve">    </w:t>
      </w:r>
      <w:r>
        <w:rPr>
          <w:rFonts w:hint="eastAsia" w:ascii="华文仿宋" w:hAnsi="华文仿宋" w:eastAsia="华文仿宋"/>
          <w:color w:val="auto"/>
          <w:sz w:val="28"/>
          <w:szCs w:val="28"/>
          <w:highlight w:val="none"/>
          <w:lang w:eastAsia="zh-CN"/>
        </w:rPr>
        <w:t>（</w:t>
      </w:r>
      <w:r>
        <w:rPr>
          <w:rFonts w:hint="eastAsia" w:ascii="华文仿宋" w:hAnsi="华文仿宋" w:eastAsia="华文仿宋"/>
          <w:color w:val="auto"/>
          <w:sz w:val="28"/>
          <w:szCs w:val="28"/>
          <w:highlight w:val="none"/>
          <w:lang w:val="en-US" w:eastAsia="zh-CN"/>
        </w:rPr>
        <w:t>三</w:t>
      </w:r>
      <w:r>
        <w:rPr>
          <w:rFonts w:hint="eastAsia" w:ascii="华文仿宋" w:hAnsi="华文仿宋" w:eastAsia="华文仿宋"/>
          <w:color w:val="auto"/>
          <w:sz w:val="28"/>
          <w:szCs w:val="28"/>
          <w:highlight w:val="none"/>
          <w:lang w:eastAsia="zh-CN"/>
        </w:rPr>
        <w:t>）</w:t>
      </w:r>
      <w:r>
        <w:rPr>
          <w:rFonts w:hint="eastAsia" w:ascii="华文仿宋" w:hAnsi="华文仿宋" w:eastAsia="华文仿宋"/>
          <w:color w:val="auto"/>
          <w:sz w:val="28"/>
          <w:szCs w:val="28"/>
          <w:highlight w:val="none"/>
        </w:rPr>
        <w:t>学习成绩优良</w:t>
      </w:r>
      <w:r>
        <w:rPr>
          <w:rFonts w:ascii="华文仿宋" w:hAnsi="华文仿宋" w:eastAsia="华文仿宋"/>
          <w:color w:val="auto"/>
          <w:sz w:val="28"/>
          <w:szCs w:val="28"/>
          <w:highlight w:val="none"/>
        </w:rPr>
        <w:t xml:space="preserve">: </w:t>
      </w:r>
      <w:r>
        <w:rPr>
          <w:rFonts w:hint="eastAsia" w:ascii="华文仿宋" w:hAnsi="华文仿宋" w:eastAsia="华文仿宋"/>
          <w:color w:val="auto"/>
          <w:sz w:val="28"/>
          <w:szCs w:val="28"/>
          <w:highlight w:val="none"/>
        </w:rPr>
        <w:t>热爱所学专业，学习态度端正，遵守学习纪律，勤奋学习，其应修课程全部合格，成绩优良；有较强的科研和实践能力，发展潜力突出；参加全国及省</w:t>
      </w:r>
      <w:r>
        <w:rPr>
          <w:rFonts w:ascii="华文仿宋" w:hAnsi="华文仿宋" w:eastAsia="华文仿宋"/>
          <w:color w:val="auto"/>
          <w:sz w:val="28"/>
          <w:szCs w:val="28"/>
          <w:highlight w:val="none"/>
        </w:rPr>
        <w:t>(</w:t>
      </w:r>
      <w:r>
        <w:rPr>
          <w:rFonts w:hint="eastAsia" w:ascii="华文仿宋" w:hAnsi="华文仿宋" w:eastAsia="华文仿宋"/>
          <w:color w:val="auto"/>
          <w:sz w:val="28"/>
          <w:szCs w:val="28"/>
          <w:highlight w:val="none"/>
        </w:rPr>
        <w:t>部</w:t>
      </w:r>
      <w:r>
        <w:rPr>
          <w:rFonts w:ascii="华文仿宋" w:hAnsi="华文仿宋" w:eastAsia="华文仿宋"/>
          <w:color w:val="auto"/>
          <w:sz w:val="28"/>
          <w:szCs w:val="28"/>
          <w:highlight w:val="none"/>
        </w:rPr>
        <w:t xml:space="preserve">) </w:t>
      </w:r>
      <w:r>
        <w:rPr>
          <w:rFonts w:hint="eastAsia" w:ascii="华文仿宋" w:hAnsi="华文仿宋" w:eastAsia="华文仿宋"/>
          <w:color w:val="auto"/>
          <w:sz w:val="28"/>
          <w:szCs w:val="28"/>
          <w:highlight w:val="none"/>
        </w:rPr>
        <w:t>级评优或各类竞赛活动获得优胜与表彰的。</w:t>
      </w:r>
    </w:p>
    <w:p>
      <w:pPr>
        <w:spacing w:line="560" w:lineRule="exact"/>
        <w:ind w:firstLine="560"/>
        <w:rPr>
          <w:rFonts w:ascii="华文仿宋" w:hAnsi="华文仿宋" w:eastAsia="华文仿宋"/>
          <w:color w:val="auto"/>
          <w:sz w:val="28"/>
          <w:szCs w:val="28"/>
          <w:highlight w:val="none"/>
        </w:rPr>
      </w:pPr>
      <w:r>
        <w:rPr>
          <w:rFonts w:hint="eastAsia" w:ascii="华文仿宋" w:hAnsi="华文仿宋" w:eastAsia="华文仿宋"/>
          <w:color w:val="auto"/>
          <w:sz w:val="28"/>
          <w:szCs w:val="28"/>
          <w:highlight w:val="none"/>
          <w:lang w:eastAsia="zh-CN"/>
        </w:rPr>
        <w:t>（</w:t>
      </w:r>
      <w:r>
        <w:rPr>
          <w:rFonts w:hint="eastAsia" w:ascii="华文仿宋" w:hAnsi="华文仿宋" w:eastAsia="华文仿宋"/>
          <w:color w:val="auto"/>
          <w:sz w:val="28"/>
          <w:szCs w:val="28"/>
          <w:highlight w:val="none"/>
          <w:lang w:val="en-US" w:eastAsia="zh-CN"/>
        </w:rPr>
        <w:t>四</w:t>
      </w:r>
      <w:r>
        <w:rPr>
          <w:rFonts w:hint="eastAsia" w:ascii="华文仿宋" w:hAnsi="华文仿宋" w:eastAsia="华文仿宋"/>
          <w:color w:val="auto"/>
          <w:sz w:val="28"/>
          <w:szCs w:val="28"/>
          <w:highlight w:val="none"/>
          <w:lang w:eastAsia="zh-CN"/>
        </w:rPr>
        <w:t>）</w:t>
      </w:r>
      <w:r>
        <w:rPr>
          <w:rFonts w:hint="eastAsia" w:ascii="华文仿宋" w:hAnsi="华文仿宋" w:eastAsia="华文仿宋"/>
          <w:color w:val="auto"/>
          <w:sz w:val="28"/>
          <w:szCs w:val="28"/>
          <w:highlight w:val="none"/>
        </w:rPr>
        <w:t>对符合以下条件的同学优先评选：成果被有关部门采用或在院级以上优秀论文评比中获奖；在学校重大活动、竞赛、重要推优评比中获得学校授予的荣誉称号；综合表现突出、在同学中能起模范带头作用，担任校级或院级学生组织或学生社团主要负责人（担任学生干部满一年），代表同学利益，热心为同学服务，积极开展各项活动，配合校院有关部门开展工作、发挥桥梁纽带作用</w:t>
      </w:r>
      <w:r>
        <w:rPr>
          <w:rFonts w:hint="eastAsia" w:ascii="华文仿宋" w:hAnsi="华文仿宋" w:eastAsia="华文仿宋"/>
          <w:color w:val="auto"/>
          <w:sz w:val="28"/>
          <w:szCs w:val="28"/>
          <w:highlight w:val="none"/>
          <w:lang w:eastAsia="zh-CN"/>
        </w:rPr>
        <w:t>。</w:t>
      </w:r>
      <w:r>
        <w:rPr>
          <w:rFonts w:hint="eastAsia" w:ascii="华文仿宋" w:hAnsi="华文仿宋" w:eastAsia="华文仿宋"/>
          <w:color w:val="auto"/>
          <w:sz w:val="28"/>
          <w:szCs w:val="28"/>
          <w:highlight w:val="none"/>
        </w:rPr>
        <w:t xml:space="preserve"> </w:t>
      </w:r>
    </w:p>
    <w:p>
      <w:pPr>
        <w:spacing w:line="560" w:lineRule="exact"/>
        <w:ind w:firstLine="560"/>
        <w:rPr>
          <w:rFonts w:ascii="华文仿宋" w:hAnsi="华文仿宋" w:eastAsia="华文仿宋" w:cs="Times New Roman"/>
          <w:color w:val="auto"/>
          <w:sz w:val="28"/>
          <w:szCs w:val="28"/>
          <w:highlight w:val="none"/>
        </w:rPr>
      </w:pPr>
      <w:r>
        <w:rPr>
          <w:rFonts w:hint="eastAsia" w:ascii="华文仿宋" w:hAnsi="华文仿宋" w:eastAsia="华文仿宋"/>
          <w:color w:val="auto"/>
          <w:sz w:val="28"/>
          <w:szCs w:val="28"/>
          <w:highlight w:val="none"/>
          <w:lang w:val="en-US" w:eastAsia="zh-CN"/>
        </w:rPr>
        <w:t>（五）</w:t>
      </w:r>
      <w:r>
        <w:rPr>
          <w:rFonts w:hint="eastAsia" w:ascii="华文仿宋" w:hAnsi="华文仿宋" w:eastAsia="华文仿宋"/>
          <w:color w:val="auto"/>
          <w:sz w:val="28"/>
          <w:szCs w:val="28"/>
          <w:highlight w:val="none"/>
        </w:rPr>
        <w:t>除以上条件外，</w:t>
      </w:r>
      <w:r>
        <w:rPr>
          <w:rFonts w:hint="eastAsia" w:ascii="华文仿宋" w:hAnsi="华文仿宋" w:eastAsia="华文仿宋" w:cs="Times New Roman"/>
          <w:color w:val="auto"/>
          <w:sz w:val="28"/>
          <w:szCs w:val="28"/>
          <w:highlight w:val="none"/>
        </w:rPr>
        <w:t>研究生评定以所处学习阶段的科研成果为依据，科研成果以科研论文为主要参评依据，</w:t>
      </w:r>
      <w:r>
        <w:rPr>
          <w:rFonts w:hint="eastAsia" w:ascii="华文仿宋" w:hAnsi="华文仿宋" w:eastAsia="华文仿宋"/>
          <w:color w:val="auto"/>
          <w:sz w:val="28"/>
          <w:szCs w:val="28"/>
          <w:highlight w:val="none"/>
        </w:rPr>
        <w:t>对研究生同学的评选增加</w:t>
      </w:r>
      <w:r>
        <w:rPr>
          <w:rFonts w:hint="eastAsia" w:ascii="华文仿宋" w:hAnsi="华文仿宋" w:eastAsia="华文仿宋"/>
          <w:color w:val="auto"/>
          <w:sz w:val="28"/>
          <w:szCs w:val="28"/>
          <w:highlight w:val="none"/>
          <w:lang w:val="en-US" w:eastAsia="zh-CN"/>
        </w:rPr>
        <w:t>论文评比</w:t>
      </w:r>
      <w:r>
        <w:rPr>
          <w:rFonts w:hint="eastAsia" w:ascii="华文仿宋" w:hAnsi="华文仿宋" w:eastAsia="华文仿宋"/>
          <w:color w:val="auto"/>
          <w:sz w:val="28"/>
          <w:szCs w:val="28"/>
          <w:highlight w:val="none"/>
          <w:lang w:eastAsia="zh-CN"/>
        </w:rPr>
        <w:t>，</w:t>
      </w:r>
      <w:r>
        <w:rPr>
          <w:rFonts w:hint="eastAsia" w:ascii="华文仿宋" w:hAnsi="华文仿宋" w:eastAsia="华文仿宋" w:cs="Times New Roman"/>
          <w:color w:val="auto"/>
          <w:sz w:val="28"/>
          <w:szCs w:val="28"/>
          <w:highlight w:val="none"/>
        </w:rPr>
        <w:t>参评论文必须满足以下条件：</w:t>
      </w:r>
    </w:p>
    <w:p>
      <w:pPr>
        <w:spacing w:line="560" w:lineRule="exact"/>
        <w:ind w:firstLine="560" w:firstLineChars="0"/>
        <w:rPr>
          <w:rFonts w:ascii="华文仿宋" w:hAnsi="华文仿宋" w:eastAsia="华文仿宋" w:cs="Times New Roman"/>
          <w:color w:val="auto"/>
          <w:sz w:val="28"/>
          <w:szCs w:val="28"/>
          <w:highlight w:val="none"/>
        </w:rPr>
      </w:pPr>
      <w:r>
        <w:rPr>
          <w:rFonts w:hint="eastAsia" w:ascii="华文仿宋" w:hAnsi="华文仿宋" w:eastAsia="华文仿宋" w:cs="Times New Roman"/>
          <w:color w:val="auto"/>
          <w:sz w:val="28"/>
          <w:szCs w:val="28"/>
          <w:highlight w:val="none"/>
          <w:lang w:val="en-US" w:eastAsia="zh-CN"/>
        </w:rPr>
        <w:t>1.</w:t>
      </w:r>
      <w:r>
        <w:rPr>
          <w:rFonts w:hint="eastAsia" w:ascii="华文仿宋" w:hAnsi="华文仿宋" w:eastAsia="华文仿宋" w:cs="Times New Roman"/>
          <w:color w:val="auto"/>
          <w:sz w:val="28"/>
          <w:szCs w:val="28"/>
          <w:highlight w:val="none"/>
        </w:rPr>
        <w:t>仅限发表于</w:t>
      </w:r>
      <w:r>
        <w:rPr>
          <w:rFonts w:ascii="华文仿宋" w:hAnsi="华文仿宋" w:eastAsia="华文仿宋" w:cs="Times New Roman"/>
          <w:color w:val="auto"/>
          <w:sz w:val="28"/>
          <w:szCs w:val="28"/>
          <w:highlight w:val="none"/>
        </w:rPr>
        <w:t>SCI刊物/SSCI刊物、EI刊物、中文核心A类刊物、中文核心B类刊物、CSSCI刊物、外文非收录刊物，会议论文除外；</w:t>
      </w:r>
    </w:p>
    <w:p>
      <w:pPr>
        <w:spacing w:line="560" w:lineRule="exact"/>
        <w:ind w:firstLine="560" w:firstLineChars="0"/>
        <w:rPr>
          <w:rFonts w:ascii="华文仿宋" w:hAnsi="华文仿宋" w:eastAsia="华文仿宋" w:cs="Times New Roman"/>
          <w:color w:val="auto"/>
          <w:sz w:val="28"/>
          <w:szCs w:val="28"/>
          <w:highlight w:val="none"/>
        </w:rPr>
      </w:pPr>
      <w:r>
        <w:rPr>
          <w:rFonts w:hint="eastAsia" w:ascii="华文仿宋" w:hAnsi="华文仿宋" w:eastAsia="华文仿宋" w:cs="Times New Roman"/>
          <w:color w:val="auto"/>
          <w:sz w:val="28"/>
          <w:szCs w:val="28"/>
          <w:highlight w:val="none"/>
          <w:lang w:val="en-US" w:eastAsia="zh-CN"/>
        </w:rPr>
        <w:t>2.</w:t>
      </w:r>
      <w:r>
        <w:rPr>
          <w:rFonts w:ascii="华文仿宋" w:hAnsi="华文仿宋" w:eastAsia="华文仿宋" w:cs="Times New Roman"/>
          <w:color w:val="auto"/>
          <w:sz w:val="28"/>
          <w:szCs w:val="28"/>
          <w:highlight w:val="none"/>
        </w:rPr>
        <w:t>SCI刊物/SSCI刊物、EI刊</w:t>
      </w:r>
      <w:r>
        <w:rPr>
          <w:rFonts w:hint="eastAsia" w:ascii="华文仿宋" w:hAnsi="华文仿宋" w:eastAsia="华文仿宋" w:cs="Times New Roman"/>
          <w:color w:val="auto"/>
          <w:sz w:val="28"/>
          <w:szCs w:val="28"/>
          <w:highlight w:val="none"/>
        </w:rPr>
        <w:t>物见刊或者提供在线发表的</w:t>
      </w:r>
      <w:r>
        <w:rPr>
          <w:rFonts w:ascii="华文仿宋" w:hAnsi="华文仿宋" w:eastAsia="华文仿宋" w:cs="Times New Roman"/>
          <w:color w:val="auto"/>
          <w:sz w:val="28"/>
          <w:szCs w:val="28"/>
          <w:highlight w:val="none"/>
        </w:rPr>
        <w:t>DOI号，并同时提供我校图书馆开具的检索证明；中文核心类期刊论文与CSSCI期刊必须见刊并提供期刊原件；</w:t>
      </w:r>
    </w:p>
    <w:p>
      <w:pPr>
        <w:spacing w:line="560" w:lineRule="exact"/>
        <w:ind w:firstLine="560" w:firstLineChars="0"/>
        <w:rPr>
          <w:rFonts w:ascii="华文仿宋" w:hAnsi="华文仿宋" w:eastAsia="华文仿宋" w:cs="Times New Roman"/>
          <w:color w:val="auto"/>
          <w:sz w:val="28"/>
          <w:szCs w:val="28"/>
          <w:highlight w:val="none"/>
        </w:rPr>
      </w:pPr>
      <w:r>
        <w:rPr>
          <w:rFonts w:hint="eastAsia" w:ascii="华文仿宋" w:hAnsi="华文仿宋" w:eastAsia="华文仿宋" w:cs="Times New Roman"/>
          <w:color w:val="auto"/>
          <w:sz w:val="28"/>
          <w:szCs w:val="28"/>
          <w:highlight w:val="none"/>
          <w:lang w:val="en-US" w:eastAsia="zh-CN"/>
        </w:rPr>
        <w:t>3.</w:t>
      </w:r>
      <w:r>
        <w:rPr>
          <w:rFonts w:hint="eastAsia" w:ascii="华文仿宋" w:hAnsi="华文仿宋" w:eastAsia="华文仿宋" w:cs="Times New Roman"/>
          <w:color w:val="auto"/>
          <w:sz w:val="28"/>
          <w:szCs w:val="28"/>
          <w:highlight w:val="none"/>
        </w:rPr>
        <w:t>本人为第一作者，通讯作者必须为学籍导师，且西北农林科技大学资源环境学院为第一署名单位。</w:t>
      </w:r>
    </w:p>
    <w:p>
      <w:pPr>
        <w:spacing w:line="560" w:lineRule="exact"/>
        <w:ind w:firstLine="560" w:firstLineChars="0"/>
        <w:rPr>
          <w:rFonts w:ascii="华文仿宋" w:hAnsi="华文仿宋" w:eastAsia="华文仿宋" w:cs="Times New Roman"/>
          <w:color w:val="auto"/>
          <w:sz w:val="28"/>
          <w:szCs w:val="28"/>
          <w:highlight w:val="none"/>
        </w:rPr>
      </w:pPr>
      <w:r>
        <w:rPr>
          <w:rFonts w:hint="eastAsia" w:ascii="华文仿宋" w:hAnsi="华文仿宋" w:eastAsia="华文仿宋" w:cs="Times New Roman"/>
          <w:color w:val="auto"/>
          <w:sz w:val="28"/>
          <w:szCs w:val="28"/>
          <w:highlight w:val="none"/>
        </w:rPr>
        <w:t>注：共同第一作者署名的文章按人数逐级降区参评。</w:t>
      </w:r>
    </w:p>
    <w:p>
      <w:pPr>
        <w:spacing w:line="560" w:lineRule="exact"/>
        <w:ind w:firstLine="560" w:firstLineChars="0"/>
        <w:rPr>
          <w:rFonts w:ascii="华文仿宋" w:hAnsi="华文仿宋" w:eastAsia="华文仿宋" w:cs="Times New Roman"/>
          <w:color w:val="auto"/>
          <w:sz w:val="28"/>
          <w:szCs w:val="28"/>
          <w:highlight w:val="none"/>
        </w:rPr>
      </w:pPr>
      <w:r>
        <w:rPr>
          <w:rFonts w:hint="eastAsia" w:ascii="华文仿宋" w:hAnsi="华文仿宋" w:eastAsia="华文仿宋" w:cs="Times New Roman"/>
          <w:color w:val="auto"/>
          <w:sz w:val="28"/>
          <w:szCs w:val="28"/>
          <w:highlight w:val="none"/>
          <w:lang w:val="en-US" w:eastAsia="zh-CN"/>
        </w:rPr>
        <w:t>4.</w:t>
      </w:r>
      <w:r>
        <w:rPr>
          <w:rFonts w:hint="eastAsia" w:ascii="华文仿宋" w:hAnsi="华文仿宋" w:eastAsia="华文仿宋" w:cs="Times New Roman"/>
          <w:color w:val="auto"/>
          <w:sz w:val="28"/>
          <w:szCs w:val="28"/>
          <w:highlight w:val="none"/>
        </w:rPr>
        <w:t>参评的科研成果、专利等申报材料需在上一年</w:t>
      </w:r>
      <w:r>
        <w:rPr>
          <w:rFonts w:ascii="华文仿宋" w:hAnsi="华文仿宋" w:eastAsia="华文仿宋" w:cs="Times New Roman"/>
          <w:color w:val="auto"/>
          <w:sz w:val="28"/>
          <w:szCs w:val="28"/>
          <w:highlight w:val="none"/>
        </w:rPr>
        <w:t>9月1日至本年8月31日之间取得，其他时期的成果不作为本年度参评依据。</w:t>
      </w:r>
    </w:p>
    <w:p>
      <w:pPr>
        <w:spacing w:line="560" w:lineRule="exact"/>
        <w:ind w:firstLine="560" w:firstLineChars="0"/>
        <w:rPr>
          <w:rFonts w:ascii="华文仿宋" w:hAnsi="华文仿宋" w:eastAsia="华文仿宋" w:cs="Times New Roman"/>
          <w:color w:val="auto"/>
          <w:sz w:val="28"/>
          <w:szCs w:val="28"/>
          <w:highlight w:val="none"/>
        </w:rPr>
      </w:pPr>
      <w:r>
        <w:rPr>
          <w:rFonts w:hint="eastAsia" w:ascii="华文仿宋" w:hAnsi="华文仿宋" w:eastAsia="华文仿宋" w:cs="Times New Roman"/>
          <w:color w:val="auto"/>
          <w:sz w:val="28"/>
          <w:szCs w:val="28"/>
          <w:highlight w:val="none"/>
          <w:lang w:val="en-US" w:eastAsia="zh-CN"/>
        </w:rPr>
        <w:t>5.</w:t>
      </w:r>
      <w:r>
        <w:rPr>
          <w:rFonts w:hint="eastAsia" w:ascii="华文仿宋" w:hAnsi="华文仿宋" w:eastAsia="华文仿宋" w:cs="Times New Roman"/>
          <w:color w:val="auto"/>
          <w:sz w:val="28"/>
          <w:szCs w:val="28"/>
          <w:highlight w:val="none"/>
        </w:rPr>
        <w:t>学业成绩为所处学习阶段整体加权平均分为准。</w:t>
      </w:r>
    </w:p>
    <w:p>
      <w:pPr>
        <w:spacing w:line="560" w:lineRule="exact"/>
        <w:ind w:firstLine="560" w:firstLineChars="0"/>
        <w:rPr>
          <w:rFonts w:ascii="华文仿宋" w:hAnsi="华文仿宋" w:eastAsia="华文仿宋" w:cs="Times New Roman"/>
          <w:color w:val="auto"/>
          <w:sz w:val="28"/>
          <w:szCs w:val="28"/>
          <w:highlight w:val="none"/>
        </w:rPr>
      </w:pPr>
      <w:r>
        <w:rPr>
          <w:rFonts w:hint="eastAsia" w:ascii="华文仿宋" w:hAnsi="华文仿宋" w:eastAsia="华文仿宋" w:cs="Times New Roman"/>
          <w:color w:val="auto"/>
          <w:sz w:val="28"/>
          <w:szCs w:val="28"/>
          <w:highlight w:val="none"/>
          <w:lang w:val="en-US" w:eastAsia="zh-CN"/>
        </w:rPr>
        <w:t>6.</w:t>
      </w:r>
      <w:r>
        <w:rPr>
          <w:rFonts w:hint="eastAsia" w:ascii="华文仿宋" w:hAnsi="华文仿宋" w:eastAsia="华文仿宋" w:cs="Times New Roman"/>
          <w:color w:val="auto"/>
          <w:sz w:val="28"/>
          <w:szCs w:val="28"/>
          <w:highlight w:val="none"/>
        </w:rPr>
        <w:t>科研论文评定细则及其余未详尽办法参考《资源环境学院研究生国家奖学金评定办法</w:t>
      </w:r>
      <w:r>
        <w:rPr>
          <w:rFonts w:ascii="华文仿宋" w:hAnsi="华文仿宋" w:eastAsia="华文仿宋"/>
          <w:color w:val="auto"/>
          <w:sz w:val="28"/>
          <w:szCs w:val="28"/>
          <w:highlight w:val="none"/>
        </w:rPr>
        <w:t>(</w:t>
      </w:r>
      <w:r>
        <w:rPr>
          <w:rFonts w:hint="eastAsia" w:ascii="华文仿宋" w:hAnsi="华文仿宋" w:eastAsia="华文仿宋"/>
          <w:color w:val="auto"/>
          <w:sz w:val="28"/>
          <w:szCs w:val="28"/>
          <w:highlight w:val="none"/>
        </w:rPr>
        <w:t>试行</w:t>
      </w:r>
      <w:r>
        <w:rPr>
          <w:rFonts w:ascii="华文仿宋" w:hAnsi="华文仿宋" w:eastAsia="华文仿宋"/>
          <w:color w:val="auto"/>
          <w:sz w:val="28"/>
          <w:szCs w:val="28"/>
          <w:highlight w:val="none"/>
        </w:rPr>
        <w:t>)</w:t>
      </w:r>
      <w:r>
        <w:rPr>
          <w:rFonts w:hint="eastAsia" w:ascii="华文仿宋" w:hAnsi="华文仿宋" w:eastAsia="华文仿宋" w:cs="Times New Roman"/>
          <w:color w:val="auto"/>
          <w:sz w:val="28"/>
          <w:szCs w:val="28"/>
          <w:highlight w:val="none"/>
        </w:rPr>
        <w:t>》</w:t>
      </w:r>
      <w:r>
        <w:rPr>
          <w:rFonts w:hint="eastAsia" w:ascii="华文仿宋" w:hAnsi="华文仿宋" w:eastAsia="华文仿宋"/>
          <w:color w:val="auto"/>
          <w:sz w:val="28"/>
          <w:szCs w:val="28"/>
          <w:highlight w:val="none"/>
        </w:rPr>
        <w:t>执行。</w:t>
      </w:r>
    </w:p>
    <w:p>
      <w:pPr>
        <w:spacing w:line="560" w:lineRule="exact"/>
        <w:rPr>
          <w:rFonts w:ascii="华文仿宋" w:hAnsi="华文仿宋" w:eastAsia="华文仿宋"/>
          <w:color w:val="auto"/>
          <w:sz w:val="28"/>
          <w:szCs w:val="28"/>
          <w:highlight w:val="none"/>
        </w:rPr>
      </w:pPr>
      <w:r>
        <w:rPr>
          <w:rFonts w:ascii="华文仿宋" w:hAnsi="华文仿宋" w:eastAsia="华文仿宋"/>
          <w:color w:val="auto"/>
          <w:sz w:val="28"/>
          <w:szCs w:val="28"/>
          <w:highlight w:val="none"/>
        </w:rPr>
        <w:t xml:space="preserve">    </w:t>
      </w:r>
      <w:r>
        <w:rPr>
          <w:rFonts w:hint="eastAsia" w:ascii="华文仿宋" w:hAnsi="华文仿宋" w:eastAsia="华文仿宋"/>
          <w:color w:val="auto"/>
          <w:sz w:val="28"/>
          <w:szCs w:val="28"/>
          <w:highlight w:val="none"/>
        </w:rPr>
        <w:t>第五条</w:t>
      </w:r>
      <w:r>
        <w:rPr>
          <w:rFonts w:ascii="华文仿宋" w:hAnsi="华文仿宋" w:eastAsia="华文仿宋"/>
          <w:color w:val="auto"/>
          <w:sz w:val="28"/>
          <w:szCs w:val="28"/>
          <w:highlight w:val="none"/>
        </w:rPr>
        <w:t xml:space="preserve">  </w:t>
      </w:r>
      <w:r>
        <w:rPr>
          <w:rFonts w:hint="eastAsia" w:ascii="华文仿宋" w:hAnsi="华文仿宋" w:eastAsia="华文仿宋"/>
          <w:color w:val="auto"/>
          <w:sz w:val="28"/>
          <w:szCs w:val="28"/>
          <w:highlight w:val="none"/>
        </w:rPr>
        <w:t>“中环科千一奖学金”评审工作坚持公开、公平、公正的原则，每学年评审一次，实行差额评审。</w:t>
      </w:r>
    </w:p>
    <w:p>
      <w:pPr>
        <w:spacing w:line="560" w:lineRule="exact"/>
        <w:rPr>
          <w:rFonts w:ascii="华文仿宋" w:hAnsi="华文仿宋" w:eastAsia="华文仿宋"/>
          <w:color w:val="auto"/>
          <w:sz w:val="28"/>
          <w:szCs w:val="28"/>
          <w:highlight w:val="none"/>
        </w:rPr>
      </w:pPr>
      <w:r>
        <w:rPr>
          <w:rFonts w:hint="eastAsia" w:ascii="华文仿宋" w:hAnsi="华文仿宋" w:eastAsia="华文仿宋"/>
          <w:color w:val="auto"/>
          <w:sz w:val="28"/>
          <w:szCs w:val="28"/>
          <w:highlight w:val="none"/>
        </w:rPr>
        <w:t xml:space="preserve">    第六条  “中环科千一奖学金”评审程序：</w:t>
      </w:r>
      <w:r>
        <w:rPr>
          <w:rFonts w:ascii="华文仿宋" w:hAnsi="华文仿宋" w:eastAsia="华文仿宋"/>
          <w:color w:val="auto"/>
          <w:sz w:val="28"/>
          <w:szCs w:val="28"/>
          <w:highlight w:val="none"/>
        </w:rPr>
        <w:t xml:space="preserve"> </w:t>
      </w:r>
    </w:p>
    <w:p>
      <w:pPr>
        <w:spacing w:line="560" w:lineRule="exact"/>
        <w:rPr>
          <w:rFonts w:ascii="华文仿宋" w:hAnsi="华文仿宋" w:eastAsia="华文仿宋"/>
          <w:color w:val="auto"/>
          <w:sz w:val="28"/>
          <w:szCs w:val="28"/>
          <w:highlight w:val="none"/>
        </w:rPr>
      </w:pPr>
      <w:r>
        <w:rPr>
          <w:rFonts w:hint="eastAsia" w:ascii="华文仿宋" w:hAnsi="华文仿宋" w:eastAsia="华文仿宋"/>
          <w:color w:val="auto"/>
          <w:sz w:val="28"/>
          <w:szCs w:val="28"/>
          <w:highlight w:val="none"/>
        </w:rPr>
        <w:t xml:space="preserve">    （一）本人申请。学生向学院所在班级提出申请并填写《西北农林科技大学“中环科千一奖学金”申请表》。</w:t>
      </w:r>
    </w:p>
    <w:p>
      <w:pPr>
        <w:spacing w:line="560" w:lineRule="exact"/>
        <w:ind w:firstLine="555"/>
        <w:rPr>
          <w:rFonts w:ascii="华文仿宋" w:hAnsi="华文仿宋" w:eastAsia="华文仿宋"/>
          <w:color w:val="auto"/>
          <w:sz w:val="28"/>
          <w:szCs w:val="28"/>
          <w:highlight w:val="none"/>
        </w:rPr>
      </w:pPr>
      <w:r>
        <w:rPr>
          <w:rFonts w:hint="eastAsia" w:ascii="华文仿宋" w:hAnsi="华文仿宋" w:eastAsia="华文仿宋"/>
          <w:color w:val="auto"/>
          <w:sz w:val="28"/>
          <w:szCs w:val="28"/>
          <w:highlight w:val="none"/>
        </w:rPr>
        <w:t>（二）学院评定小组初审。学院评定小组对班级推荐结果依据本管理办法第四条“中环科千一奖学金”评选基本条件进行初审。</w:t>
      </w:r>
    </w:p>
    <w:p>
      <w:pPr>
        <w:spacing w:line="560" w:lineRule="exact"/>
        <w:rPr>
          <w:rFonts w:ascii="华文仿宋" w:hAnsi="华文仿宋" w:eastAsia="华文仿宋"/>
          <w:color w:val="auto"/>
          <w:sz w:val="28"/>
          <w:szCs w:val="28"/>
          <w:highlight w:val="none"/>
        </w:rPr>
      </w:pPr>
      <w:r>
        <w:rPr>
          <w:rFonts w:ascii="华文仿宋" w:hAnsi="华文仿宋" w:eastAsia="华文仿宋" w:cs="宋体"/>
          <w:b/>
          <w:color w:val="auto"/>
          <w:sz w:val="28"/>
          <w:szCs w:val="28"/>
          <w:highlight w:val="none"/>
        </w:rPr>
        <w:t xml:space="preserve">    </w:t>
      </w:r>
      <w:r>
        <w:rPr>
          <w:rFonts w:hint="eastAsia" w:ascii="华文仿宋" w:hAnsi="华文仿宋" w:eastAsia="华文仿宋"/>
          <w:color w:val="auto"/>
          <w:sz w:val="28"/>
          <w:szCs w:val="28"/>
          <w:highlight w:val="none"/>
        </w:rPr>
        <w:t>（三）</w:t>
      </w:r>
      <w:r>
        <w:rPr>
          <w:rFonts w:ascii="华文仿宋" w:hAnsi="华文仿宋" w:eastAsia="华文仿宋"/>
          <w:color w:val="auto"/>
          <w:sz w:val="28"/>
          <w:szCs w:val="28"/>
          <w:highlight w:val="none"/>
        </w:rPr>
        <w:t>学院评定小组初审通过后，经与中环科领导协商，由中环科与学院共同商议确定符合评选条件的学生，并予以公示三天。</w:t>
      </w:r>
    </w:p>
    <w:p>
      <w:pPr>
        <w:spacing w:line="560" w:lineRule="exact"/>
        <w:ind w:firstLine="555"/>
        <w:rPr>
          <w:rFonts w:ascii="华文仿宋" w:hAnsi="华文仿宋" w:eastAsia="华文仿宋"/>
          <w:color w:val="auto"/>
          <w:sz w:val="28"/>
          <w:szCs w:val="28"/>
          <w:highlight w:val="none"/>
        </w:rPr>
      </w:pPr>
      <w:r>
        <w:rPr>
          <w:rFonts w:hint="eastAsia" w:ascii="华文仿宋" w:hAnsi="华文仿宋" w:eastAsia="华文仿宋"/>
          <w:color w:val="auto"/>
          <w:sz w:val="28"/>
          <w:szCs w:val="28"/>
          <w:highlight w:val="none"/>
        </w:rPr>
        <w:t>（四）对评审结果有异议的学生，可在公示阶段向学院评审小组或中环科提出申诉，学院评审小组应及时研究并予以答复。如学生对学院做出的答复仍存在异议，可向学校教育发展基金会提请裁决。</w:t>
      </w:r>
    </w:p>
    <w:p>
      <w:pPr>
        <w:spacing w:line="560" w:lineRule="exact"/>
        <w:ind w:firstLine="555"/>
        <w:rPr>
          <w:rFonts w:ascii="华文仿宋" w:hAnsi="华文仿宋" w:eastAsia="华文仿宋" w:cs="宋体"/>
          <w:color w:val="auto"/>
          <w:sz w:val="28"/>
          <w:szCs w:val="28"/>
          <w:highlight w:val="none"/>
        </w:rPr>
      </w:pPr>
      <w:r>
        <w:rPr>
          <w:rFonts w:hint="eastAsia" w:ascii="华文仿宋" w:hAnsi="华文仿宋" w:eastAsia="华文仿宋"/>
          <w:color w:val="auto"/>
          <w:sz w:val="28"/>
          <w:szCs w:val="28"/>
          <w:highlight w:val="none"/>
        </w:rPr>
        <w:t>（五）学校审批。公示期满无异议后，报学校教育发展基金会审批。</w:t>
      </w:r>
    </w:p>
    <w:p>
      <w:pPr>
        <w:spacing w:line="560" w:lineRule="exact"/>
        <w:rPr>
          <w:rFonts w:ascii="华文仿宋" w:hAnsi="华文仿宋" w:eastAsia="华文仿宋"/>
          <w:color w:val="auto"/>
          <w:sz w:val="28"/>
          <w:szCs w:val="28"/>
          <w:highlight w:val="none"/>
        </w:rPr>
      </w:pPr>
      <w:r>
        <w:rPr>
          <w:rFonts w:ascii="华文仿宋" w:hAnsi="华文仿宋" w:eastAsia="华文仿宋"/>
          <w:color w:val="auto"/>
          <w:sz w:val="28"/>
          <w:szCs w:val="28"/>
          <w:highlight w:val="none"/>
        </w:rPr>
        <w:t xml:space="preserve">    </w:t>
      </w:r>
      <w:r>
        <w:rPr>
          <w:rFonts w:hint="eastAsia" w:ascii="华文仿宋" w:hAnsi="华文仿宋" w:eastAsia="华文仿宋"/>
          <w:b/>
          <w:color w:val="auto"/>
          <w:sz w:val="28"/>
          <w:szCs w:val="28"/>
          <w:highlight w:val="none"/>
        </w:rPr>
        <w:t>第七条</w:t>
      </w:r>
      <w:r>
        <w:rPr>
          <w:rFonts w:ascii="华文仿宋" w:hAnsi="华文仿宋" w:eastAsia="华文仿宋"/>
          <w:color w:val="auto"/>
          <w:sz w:val="28"/>
          <w:szCs w:val="28"/>
          <w:highlight w:val="none"/>
        </w:rPr>
        <w:t xml:space="preserve">  </w:t>
      </w:r>
      <w:r>
        <w:rPr>
          <w:rFonts w:hint="eastAsia" w:ascii="华文仿宋" w:hAnsi="华文仿宋" w:eastAsia="华文仿宋"/>
          <w:color w:val="auto"/>
          <w:sz w:val="28"/>
          <w:szCs w:val="28"/>
          <w:highlight w:val="none"/>
        </w:rPr>
        <w:t>在大学生科技创新、创业活动中表现突出的学生优先考虑；环境科学相关专业学生优先考虑；研究生在同等条件下，科研成果突出者优先考虑。</w:t>
      </w:r>
    </w:p>
    <w:p>
      <w:pPr>
        <w:spacing w:line="560" w:lineRule="exact"/>
        <w:rPr>
          <w:rFonts w:ascii="华文仿宋" w:hAnsi="华文仿宋" w:eastAsia="华文仿宋"/>
          <w:color w:val="auto"/>
          <w:sz w:val="28"/>
          <w:szCs w:val="28"/>
          <w:highlight w:val="none"/>
        </w:rPr>
      </w:pPr>
      <w:r>
        <w:rPr>
          <w:rFonts w:ascii="华文仿宋" w:hAnsi="华文仿宋" w:eastAsia="华文仿宋"/>
          <w:color w:val="auto"/>
          <w:sz w:val="28"/>
          <w:szCs w:val="28"/>
          <w:highlight w:val="none"/>
        </w:rPr>
        <w:t xml:space="preserve">    </w:t>
      </w:r>
      <w:r>
        <w:rPr>
          <w:rFonts w:hint="eastAsia" w:ascii="华文仿宋" w:hAnsi="华文仿宋" w:eastAsia="华文仿宋"/>
          <w:b/>
          <w:color w:val="auto"/>
          <w:sz w:val="28"/>
          <w:szCs w:val="28"/>
          <w:highlight w:val="none"/>
        </w:rPr>
        <w:t>第八条</w:t>
      </w:r>
      <w:r>
        <w:rPr>
          <w:rFonts w:ascii="华文仿宋" w:hAnsi="华文仿宋" w:eastAsia="华文仿宋"/>
          <w:color w:val="auto"/>
          <w:sz w:val="28"/>
          <w:szCs w:val="28"/>
          <w:highlight w:val="none"/>
        </w:rPr>
        <w:t xml:space="preserve">  </w:t>
      </w:r>
      <w:r>
        <w:rPr>
          <w:rFonts w:hint="eastAsia" w:ascii="华文仿宋" w:hAnsi="华文仿宋" w:eastAsia="华文仿宋"/>
          <w:color w:val="auto"/>
          <w:sz w:val="28"/>
          <w:szCs w:val="28"/>
          <w:highlight w:val="none"/>
        </w:rPr>
        <w:t>“中环科千一奖学金”要专款专用，任何人不得截留、挪用和挤占。</w:t>
      </w:r>
    </w:p>
    <w:p>
      <w:pPr>
        <w:spacing w:line="560" w:lineRule="exact"/>
        <w:rPr>
          <w:rFonts w:ascii="华文仿宋" w:hAnsi="华文仿宋" w:eastAsia="华文仿宋"/>
          <w:color w:val="auto"/>
          <w:sz w:val="28"/>
          <w:szCs w:val="28"/>
          <w:highlight w:val="none"/>
        </w:rPr>
      </w:pPr>
      <w:r>
        <w:rPr>
          <w:rFonts w:ascii="华文仿宋" w:hAnsi="华文仿宋" w:eastAsia="华文仿宋"/>
          <w:color w:val="auto"/>
          <w:sz w:val="28"/>
          <w:szCs w:val="28"/>
          <w:highlight w:val="none"/>
        </w:rPr>
        <w:t xml:space="preserve">    </w:t>
      </w:r>
      <w:r>
        <w:rPr>
          <w:rFonts w:hint="eastAsia" w:ascii="华文仿宋" w:hAnsi="华文仿宋" w:eastAsia="华文仿宋"/>
          <w:b/>
          <w:color w:val="auto"/>
          <w:sz w:val="28"/>
          <w:szCs w:val="28"/>
          <w:highlight w:val="none"/>
        </w:rPr>
        <w:t>第九条</w:t>
      </w:r>
      <w:r>
        <w:rPr>
          <w:rFonts w:ascii="华文仿宋" w:hAnsi="华文仿宋" w:eastAsia="华文仿宋"/>
          <w:color w:val="auto"/>
          <w:sz w:val="28"/>
          <w:szCs w:val="28"/>
          <w:highlight w:val="none"/>
        </w:rPr>
        <w:t xml:space="preserve">  </w:t>
      </w:r>
      <w:r>
        <w:rPr>
          <w:rFonts w:hint="eastAsia" w:ascii="华文仿宋" w:hAnsi="华文仿宋" w:eastAsia="华文仿宋"/>
          <w:color w:val="auto"/>
          <w:sz w:val="28"/>
          <w:szCs w:val="28"/>
          <w:highlight w:val="none"/>
        </w:rPr>
        <w:t>对参评学生要严格要求，宁缺毋滥，有下列行为之一者，取消该项奖学金评定资格：</w:t>
      </w:r>
    </w:p>
    <w:p>
      <w:pPr>
        <w:spacing w:line="560" w:lineRule="exact"/>
        <w:rPr>
          <w:rFonts w:ascii="华文仿宋" w:hAnsi="华文仿宋" w:eastAsia="华文仿宋"/>
          <w:color w:val="auto"/>
          <w:sz w:val="28"/>
          <w:szCs w:val="28"/>
          <w:highlight w:val="none"/>
        </w:rPr>
      </w:pPr>
      <w:r>
        <w:rPr>
          <w:rFonts w:ascii="华文仿宋" w:hAnsi="华文仿宋" w:eastAsia="华文仿宋"/>
          <w:color w:val="auto"/>
          <w:sz w:val="28"/>
          <w:szCs w:val="28"/>
          <w:highlight w:val="none"/>
        </w:rPr>
        <w:t xml:space="preserve">    </w:t>
      </w:r>
      <w:r>
        <w:rPr>
          <w:rFonts w:hint="eastAsia" w:ascii="华文仿宋" w:hAnsi="华文仿宋" w:eastAsia="华文仿宋"/>
          <w:color w:val="auto"/>
          <w:sz w:val="28"/>
          <w:szCs w:val="28"/>
          <w:highlight w:val="none"/>
        </w:rPr>
        <w:t>（一）触犯国家法律，受到法律制裁者；</w:t>
      </w:r>
    </w:p>
    <w:p>
      <w:pPr>
        <w:spacing w:line="560" w:lineRule="exact"/>
        <w:rPr>
          <w:rFonts w:ascii="华文仿宋" w:hAnsi="华文仿宋" w:eastAsia="华文仿宋"/>
          <w:color w:val="auto"/>
          <w:sz w:val="28"/>
          <w:szCs w:val="28"/>
          <w:highlight w:val="none"/>
        </w:rPr>
      </w:pPr>
      <w:r>
        <w:rPr>
          <w:rFonts w:ascii="华文仿宋" w:hAnsi="华文仿宋" w:eastAsia="华文仿宋"/>
          <w:color w:val="auto"/>
          <w:sz w:val="28"/>
          <w:szCs w:val="28"/>
          <w:highlight w:val="none"/>
        </w:rPr>
        <w:t xml:space="preserve">    </w:t>
      </w:r>
      <w:r>
        <w:rPr>
          <w:rFonts w:hint="eastAsia" w:ascii="华文仿宋" w:hAnsi="华文仿宋" w:eastAsia="华文仿宋"/>
          <w:color w:val="auto"/>
          <w:sz w:val="28"/>
          <w:szCs w:val="28"/>
          <w:highlight w:val="none"/>
        </w:rPr>
        <w:t>（二）学习成绩不突出，有课程重修</w:t>
      </w:r>
      <w:r>
        <w:rPr>
          <w:rFonts w:ascii="华文仿宋" w:hAnsi="华文仿宋" w:eastAsia="华文仿宋"/>
          <w:color w:val="auto"/>
          <w:sz w:val="28"/>
          <w:szCs w:val="28"/>
          <w:highlight w:val="none"/>
        </w:rPr>
        <w:t>(</w:t>
      </w:r>
      <w:r>
        <w:rPr>
          <w:rFonts w:hint="eastAsia" w:ascii="华文仿宋" w:hAnsi="华文仿宋" w:eastAsia="华文仿宋"/>
          <w:color w:val="auto"/>
          <w:sz w:val="28"/>
          <w:szCs w:val="28"/>
          <w:highlight w:val="none"/>
        </w:rPr>
        <w:t>补考</w:t>
      </w:r>
      <w:r>
        <w:rPr>
          <w:rFonts w:ascii="华文仿宋" w:hAnsi="华文仿宋" w:eastAsia="华文仿宋"/>
          <w:color w:val="auto"/>
          <w:sz w:val="28"/>
          <w:szCs w:val="28"/>
          <w:highlight w:val="none"/>
        </w:rPr>
        <w:t>)</w:t>
      </w:r>
      <w:r>
        <w:rPr>
          <w:rFonts w:hint="eastAsia" w:ascii="华文仿宋" w:hAnsi="华文仿宋" w:eastAsia="华文仿宋"/>
          <w:color w:val="auto"/>
          <w:sz w:val="28"/>
          <w:szCs w:val="28"/>
          <w:highlight w:val="none"/>
        </w:rPr>
        <w:t>或平均学分绩点</w:t>
      </w:r>
      <w:r>
        <w:rPr>
          <w:rFonts w:ascii="华文仿宋" w:hAnsi="华文仿宋" w:eastAsia="华文仿宋"/>
          <w:color w:val="auto"/>
          <w:sz w:val="28"/>
          <w:szCs w:val="28"/>
          <w:highlight w:val="none"/>
        </w:rPr>
        <w:t>(</w:t>
      </w:r>
      <w:r>
        <w:rPr>
          <w:rFonts w:hint="eastAsia" w:ascii="华文仿宋" w:hAnsi="华文仿宋" w:eastAsia="华文仿宋"/>
          <w:color w:val="auto"/>
          <w:sz w:val="28"/>
          <w:szCs w:val="28"/>
          <w:highlight w:val="none"/>
        </w:rPr>
        <w:t>学习成绩</w:t>
      </w:r>
      <w:r>
        <w:rPr>
          <w:rFonts w:ascii="华文仿宋" w:hAnsi="华文仿宋" w:eastAsia="华文仿宋"/>
          <w:color w:val="auto"/>
          <w:sz w:val="28"/>
          <w:szCs w:val="28"/>
          <w:highlight w:val="none"/>
        </w:rPr>
        <w:t xml:space="preserve">) </w:t>
      </w:r>
      <w:r>
        <w:rPr>
          <w:rFonts w:hint="eastAsia" w:ascii="华文仿宋" w:hAnsi="华文仿宋" w:eastAsia="华文仿宋"/>
          <w:color w:val="auto"/>
          <w:sz w:val="28"/>
          <w:szCs w:val="28"/>
          <w:highlight w:val="none"/>
        </w:rPr>
        <w:t>在专业排名居于后</w:t>
      </w:r>
      <w:r>
        <w:rPr>
          <w:rFonts w:ascii="华文仿宋" w:hAnsi="华文仿宋" w:eastAsia="华文仿宋"/>
          <w:color w:val="auto"/>
          <w:sz w:val="28"/>
          <w:szCs w:val="28"/>
          <w:highlight w:val="none"/>
        </w:rPr>
        <w:t xml:space="preserve">1/2 </w:t>
      </w:r>
      <w:r>
        <w:rPr>
          <w:rFonts w:hint="eastAsia" w:ascii="华文仿宋" w:hAnsi="华文仿宋" w:eastAsia="华文仿宋"/>
          <w:color w:val="auto"/>
          <w:sz w:val="28"/>
          <w:szCs w:val="28"/>
          <w:highlight w:val="none"/>
        </w:rPr>
        <w:t>范围的；必修课考试不及格者；</w:t>
      </w:r>
    </w:p>
    <w:p>
      <w:pPr>
        <w:spacing w:line="560" w:lineRule="exact"/>
        <w:rPr>
          <w:rFonts w:ascii="华文仿宋" w:hAnsi="华文仿宋" w:eastAsia="华文仿宋"/>
          <w:color w:val="auto"/>
          <w:sz w:val="28"/>
          <w:szCs w:val="28"/>
          <w:highlight w:val="none"/>
        </w:rPr>
      </w:pPr>
      <w:r>
        <w:rPr>
          <w:rFonts w:ascii="华文仿宋" w:hAnsi="华文仿宋" w:eastAsia="华文仿宋"/>
          <w:color w:val="auto"/>
          <w:sz w:val="28"/>
          <w:szCs w:val="28"/>
          <w:highlight w:val="none"/>
        </w:rPr>
        <w:t xml:space="preserve">    </w:t>
      </w:r>
      <w:r>
        <w:rPr>
          <w:rFonts w:hint="eastAsia" w:ascii="华文仿宋" w:hAnsi="华文仿宋" w:eastAsia="华文仿宋"/>
          <w:color w:val="auto"/>
          <w:sz w:val="28"/>
          <w:szCs w:val="28"/>
          <w:highlight w:val="none"/>
        </w:rPr>
        <w:t>（三）不服从学校教育管理，违犯校纪校规，受到过通报批评或校、院行政及党、团组织警告以上</w:t>
      </w:r>
      <w:r>
        <w:rPr>
          <w:rFonts w:ascii="华文仿宋" w:hAnsi="华文仿宋" w:eastAsia="华文仿宋"/>
          <w:color w:val="auto"/>
          <w:sz w:val="28"/>
          <w:szCs w:val="28"/>
          <w:highlight w:val="none"/>
        </w:rPr>
        <w:t>(</w:t>
      </w:r>
      <w:r>
        <w:rPr>
          <w:rFonts w:hint="eastAsia" w:ascii="华文仿宋" w:hAnsi="华文仿宋" w:eastAsia="华文仿宋"/>
          <w:color w:val="auto"/>
          <w:sz w:val="28"/>
          <w:szCs w:val="28"/>
          <w:highlight w:val="none"/>
        </w:rPr>
        <w:t>含警告</w:t>
      </w:r>
      <w:r>
        <w:rPr>
          <w:rFonts w:ascii="华文仿宋" w:hAnsi="华文仿宋" w:eastAsia="华文仿宋"/>
          <w:color w:val="auto"/>
          <w:sz w:val="28"/>
          <w:szCs w:val="28"/>
          <w:highlight w:val="none"/>
        </w:rPr>
        <w:t>)</w:t>
      </w:r>
      <w:r>
        <w:rPr>
          <w:rFonts w:hint="eastAsia" w:ascii="华文仿宋" w:hAnsi="华文仿宋" w:eastAsia="华文仿宋"/>
          <w:color w:val="auto"/>
          <w:sz w:val="28"/>
          <w:szCs w:val="28"/>
          <w:highlight w:val="none"/>
        </w:rPr>
        <w:t>处分者；</w:t>
      </w:r>
      <w:r>
        <w:rPr>
          <w:rFonts w:ascii="华文仿宋" w:hAnsi="华文仿宋" w:eastAsia="华文仿宋"/>
          <w:color w:val="auto"/>
          <w:sz w:val="28"/>
          <w:szCs w:val="28"/>
          <w:highlight w:val="none"/>
        </w:rPr>
        <w:t xml:space="preserve"> </w:t>
      </w:r>
    </w:p>
    <w:p>
      <w:pPr>
        <w:spacing w:line="560" w:lineRule="exact"/>
        <w:rPr>
          <w:rFonts w:ascii="华文仿宋" w:hAnsi="华文仿宋" w:eastAsia="华文仿宋"/>
          <w:color w:val="auto"/>
          <w:sz w:val="28"/>
          <w:szCs w:val="28"/>
          <w:highlight w:val="none"/>
        </w:rPr>
      </w:pPr>
      <w:r>
        <w:rPr>
          <w:rFonts w:ascii="华文仿宋" w:hAnsi="华文仿宋" w:eastAsia="华文仿宋"/>
          <w:color w:val="auto"/>
          <w:sz w:val="28"/>
          <w:szCs w:val="28"/>
          <w:highlight w:val="none"/>
        </w:rPr>
        <w:t xml:space="preserve">    </w:t>
      </w:r>
      <w:r>
        <w:rPr>
          <w:rFonts w:hint="eastAsia" w:ascii="华文仿宋" w:hAnsi="华文仿宋" w:eastAsia="华文仿宋"/>
          <w:color w:val="auto"/>
          <w:sz w:val="28"/>
          <w:szCs w:val="28"/>
          <w:highlight w:val="none"/>
        </w:rPr>
        <w:t>（四）在评奖过程中，凡发现弄虚作假者，取消评奖资格，视情节给予纪律处分，并不得参加下一学年度的评奖；颁奖后，凡发现有弄虚作假者，学校将撤销其所得的奖学金，追缴已发放的奖学金，视情节给予纪律处分，并不得参加下一学年度的评奖；</w:t>
      </w:r>
    </w:p>
    <w:p>
      <w:pPr>
        <w:spacing w:line="560" w:lineRule="exact"/>
        <w:ind w:firstLine="560"/>
        <w:rPr>
          <w:rFonts w:ascii="华文仿宋" w:hAnsi="华文仿宋" w:eastAsia="华文仿宋"/>
          <w:color w:val="auto"/>
          <w:sz w:val="28"/>
          <w:szCs w:val="28"/>
          <w:highlight w:val="none"/>
        </w:rPr>
      </w:pPr>
      <w:r>
        <w:rPr>
          <w:rFonts w:hint="eastAsia" w:ascii="华文仿宋" w:hAnsi="华文仿宋" w:eastAsia="华文仿宋"/>
          <w:color w:val="auto"/>
          <w:sz w:val="28"/>
          <w:szCs w:val="28"/>
          <w:highlight w:val="none"/>
        </w:rPr>
        <w:t>（五）擅自在外租住民房者；</w:t>
      </w:r>
    </w:p>
    <w:p>
      <w:pPr>
        <w:spacing w:line="560" w:lineRule="exact"/>
        <w:ind w:firstLine="560" w:firstLineChars="200"/>
        <w:rPr>
          <w:rFonts w:ascii="华文仿宋" w:hAnsi="华文仿宋" w:eastAsia="华文仿宋"/>
          <w:color w:val="auto"/>
          <w:sz w:val="28"/>
          <w:szCs w:val="28"/>
          <w:highlight w:val="none"/>
        </w:rPr>
      </w:pPr>
      <w:r>
        <w:rPr>
          <w:rFonts w:hint="eastAsia" w:ascii="华文仿宋" w:hAnsi="华文仿宋" w:eastAsia="华文仿宋"/>
          <w:color w:val="auto"/>
          <w:sz w:val="28"/>
          <w:szCs w:val="28"/>
          <w:highlight w:val="none"/>
        </w:rPr>
        <w:t>（六）</w:t>
      </w:r>
      <w:r>
        <w:rPr>
          <w:rFonts w:hint="eastAsia" w:ascii="华文仿宋" w:hAnsi="华文仿宋" w:eastAsia="华文仿宋" w:cs="Times New Roman"/>
          <w:color w:val="auto"/>
          <w:sz w:val="28"/>
          <w:szCs w:val="28"/>
          <w:highlight w:val="none"/>
        </w:rPr>
        <w:t>学籍状态处于休学、保留学籍者等。</w:t>
      </w:r>
    </w:p>
    <w:p>
      <w:pPr>
        <w:spacing w:line="560" w:lineRule="exact"/>
        <w:rPr>
          <w:rFonts w:ascii="华文仿宋" w:hAnsi="华文仿宋" w:eastAsia="华文仿宋"/>
          <w:color w:val="auto"/>
          <w:sz w:val="28"/>
          <w:szCs w:val="28"/>
          <w:highlight w:val="none"/>
        </w:rPr>
      </w:pPr>
      <w:r>
        <w:rPr>
          <w:rFonts w:ascii="华文仿宋" w:hAnsi="华文仿宋" w:eastAsia="华文仿宋"/>
          <w:color w:val="auto"/>
          <w:sz w:val="28"/>
          <w:szCs w:val="28"/>
          <w:highlight w:val="none"/>
        </w:rPr>
        <w:t xml:space="preserve">    </w:t>
      </w:r>
      <w:r>
        <w:rPr>
          <w:rFonts w:hint="eastAsia" w:ascii="华文仿宋" w:hAnsi="华文仿宋" w:eastAsia="华文仿宋"/>
          <w:color w:val="auto"/>
          <w:sz w:val="28"/>
          <w:szCs w:val="28"/>
          <w:highlight w:val="none"/>
        </w:rPr>
        <w:t>第十条</w:t>
      </w:r>
      <w:r>
        <w:rPr>
          <w:rFonts w:ascii="华文仿宋" w:hAnsi="华文仿宋" w:eastAsia="华文仿宋"/>
          <w:color w:val="auto"/>
          <w:sz w:val="28"/>
          <w:szCs w:val="28"/>
          <w:highlight w:val="none"/>
        </w:rPr>
        <w:t xml:space="preserve">  </w:t>
      </w:r>
      <w:r>
        <w:rPr>
          <w:rFonts w:hint="eastAsia" w:ascii="华文仿宋" w:hAnsi="华文仿宋" w:eastAsia="华文仿宋"/>
          <w:color w:val="auto"/>
          <w:sz w:val="28"/>
          <w:szCs w:val="28"/>
          <w:highlight w:val="none"/>
        </w:rPr>
        <w:t>“中环科千一奖学金”实行申请制。凡符合条件的学生均可提出申请，由于学生本人在申请过程中的疏漏造成其未获得奖学金的，由学生本人负责。</w:t>
      </w:r>
      <w:r>
        <w:rPr>
          <w:rFonts w:ascii="华文仿宋" w:hAnsi="华文仿宋" w:eastAsia="华文仿宋"/>
          <w:color w:val="auto"/>
          <w:sz w:val="28"/>
          <w:szCs w:val="28"/>
          <w:highlight w:val="none"/>
        </w:rPr>
        <w:t xml:space="preserve"> </w:t>
      </w:r>
    </w:p>
    <w:p>
      <w:pPr>
        <w:spacing w:line="560" w:lineRule="exact"/>
        <w:rPr>
          <w:rFonts w:ascii="华文仿宋" w:hAnsi="华文仿宋" w:eastAsia="华文仿宋"/>
          <w:color w:val="auto"/>
          <w:sz w:val="28"/>
          <w:szCs w:val="28"/>
          <w:highlight w:val="none"/>
        </w:rPr>
      </w:pPr>
      <w:r>
        <w:rPr>
          <w:rFonts w:ascii="华文仿宋" w:hAnsi="华文仿宋" w:eastAsia="华文仿宋"/>
          <w:color w:val="auto"/>
          <w:sz w:val="28"/>
          <w:szCs w:val="28"/>
          <w:highlight w:val="none"/>
        </w:rPr>
        <w:t xml:space="preserve">    </w:t>
      </w:r>
      <w:r>
        <w:rPr>
          <w:rFonts w:hint="eastAsia" w:ascii="华文仿宋" w:hAnsi="华文仿宋" w:eastAsia="华文仿宋"/>
          <w:color w:val="auto"/>
          <w:sz w:val="28"/>
          <w:szCs w:val="28"/>
          <w:highlight w:val="none"/>
        </w:rPr>
        <w:t>第十一条</w:t>
      </w:r>
      <w:r>
        <w:rPr>
          <w:rFonts w:ascii="华文仿宋" w:hAnsi="华文仿宋" w:eastAsia="华文仿宋"/>
          <w:color w:val="auto"/>
          <w:sz w:val="28"/>
          <w:szCs w:val="28"/>
          <w:highlight w:val="none"/>
        </w:rPr>
        <w:t xml:space="preserve">  </w:t>
      </w:r>
      <w:r>
        <w:rPr>
          <w:rFonts w:hint="eastAsia" w:ascii="华文仿宋" w:hAnsi="华文仿宋" w:eastAsia="华文仿宋"/>
          <w:color w:val="auto"/>
          <w:sz w:val="28"/>
          <w:szCs w:val="28"/>
          <w:highlight w:val="none"/>
        </w:rPr>
        <w:t>本办法由</w:t>
      </w:r>
      <w:r>
        <w:rPr>
          <w:rFonts w:hint="eastAsia" w:ascii="华文仿宋" w:hAnsi="华文仿宋" w:eastAsia="华文仿宋"/>
          <w:color w:val="auto"/>
          <w:sz w:val="28"/>
          <w:szCs w:val="28"/>
          <w:highlight w:val="none"/>
          <w:lang w:val="en-US" w:eastAsia="zh-CN"/>
        </w:rPr>
        <w:t>资源环境</w:t>
      </w:r>
      <w:bookmarkStart w:id="0" w:name="_GoBack"/>
      <w:bookmarkEnd w:id="0"/>
      <w:r>
        <w:rPr>
          <w:rFonts w:hint="eastAsia" w:ascii="华文仿宋" w:hAnsi="华文仿宋" w:eastAsia="华文仿宋"/>
          <w:color w:val="auto"/>
          <w:sz w:val="28"/>
          <w:szCs w:val="28"/>
          <w:highlight w:val="none"/>
        </w:rPr>
        <w:t>学院负责解释。</w:t>
      </w:r>
    </w:p>
    <w:p>
      <w:pPr>
        <w:spacing w:line="560" w:lineRule="exact"/>
        <w:rPr>
          <w:rFonts w:ascii="华文仿宋" w:hAnsi="华文仿宋" w:eastAsia="华文仿宋" w:cs="宋体"/>
          <w:color w:val="auto"/>
          <w:sz w:val="28"/>
          <w:szCs w:val="28"/>
          <w:highlight w:val="none"/>
        </w:rPr>
      </w:pPr>
      <w:r>
        <w:rPr>
          <w:rFonts w:ascii="华文仿宋" w:hAnsi="华文仿宋" w:eastAsia="华文仿宋"/>
          <w:color w:val="auto"/>
          <w:sz w:val="28"/>
          <w:szCs w:val="28"/>
          <w:highlight w:val="none"/>
        </w:rPr>
        <w:t xml:space="preserve">    </w:t>
      </w:r>
      <w:r>
        <w:rPr>
          <w:rFonts w:hint="eastAsia" w:ascii="华文仿宋" w:hAnsi="华文仿宋" w:eastAsia="华文仿宋"/>
          <w:color w:val="auto"/>
          <w:sz w:val="28"/>
          <w:szCs w:val="28"/>
          <w:highlight w:val="none"/>
        </w:rPr>
        <w:t>第十二条</w:t>
      </w:r>
      <w:r>
        <w:rPr>
          <w:rFonts w:ascii="华文仿宋" w:hAnsi="华文仿宋" w:eastAsia="华文仿宋"/>
          <w:color w:val="auto"/>
          <w:sz w:val="28"/>
          <w:szCs w:val="28"/>
          <w:highlight w:val="none"/>
        </w:rPr>
        <w:t xml:space="preserve">  </w:t>
      </w:r>
      <w:r>
        <w:rPr>
          <w:rFonts w:hint="eastAsia" w:ascii="华文仿宋" w:hAnsi="华文仿宋" w:eastAsia="华文仿宋"/>
          <w:color w:val="auto"/>
          <w:sz w:val="28"/>
          <w:szCs w:val="28"/>
          <w:highlight w:val="none"/>
        </w:rPr>
        <w:t>本办法自发布之日起执行。</w:t>
      </w:r>
    </w:p>
    <w:sectPr>
      <w:footerReference r:id="rId3" w:type="default"/>
      <w:pgSz w:w="11906" w:h="16838"/>
      <w:pgMar w:top="1361" w:right="1418" w:bottom="1361" w:left="1418"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814856"/>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20EAE"/>
    <w:rsid w:val="000315BA"/>
    <w:rsid w:val="00682582"/>
    <w:rsid w:val="00C20326"/>
    <w:rsid w:val="00CF6EBD"/>
    <w:rsid w:val="00EC1745"/>
    <w:rsid w:val="00F20EAE"/>
    <w:rsid w:val="1EBA0662"/>
    <w:rsid w:val="23362D77"/>
    <w:rsid w:val="3FD15E7A"/>
    <w:rsid w:val="50863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微软雅黑"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nhideWhenUsed="0" w:uiPriority="99" w:semiHidden="0"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等线" w:cs="Times New Roman"/>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0"/>
    <w:uiPriority w:val="99"/>
    <w:pPr>
      <w:adjustRightInd w:val="0"/>
      <w:snapToGrid w:val="0"/>
      <w:spacing w:after="200"/>
    </w:pPr>
    <w:rPr>
      <w:rFonts w:ascii="Tahoma" w:hAnsi="Tahoma" w:eastAsia="微软雅黑" w:cs="宋体"/>
      <w:sz w:val="22"/>
      <w:szCs w:val="22"/>
    </w:rPr>
  </w:style>
  <w:style w:type="paragraph" w:styleId="3">
    <w:name w:val="Balloon Text"/>
    <w:basedOn w:val="1"/>
    <w:link w:val="11"/>
    <w:uiPriority w:val="99"/>
    <w:rPr>
      <w:rFonts w:ascii="宋体" w:eastAsia="宋体"/>
      <w:sz w:val="18"/>
      <w:szCs w:val="18"/>
    </w:rPr>
  </w:style>
  <w:style w:type="paragraph" w:styleId="4">
    <w:name w:val="footer"/>
    <w:basedOn w:val="1"/>
    <w:link w:val="13"/>
    <w:unhideWhenUsed/>
    <w:qFormat/>
    <w:uiPriority w:val="99"/>
    <w:pPr>
      <w:tabs>
        <w:tab w:val="center" w:pos="4153"/>
        <w:tab w:val="right" w:pos="8306"/>
      </w:tabs>
      <w:snapToGrid w:val="0"/>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qFormat/>
    <w:uiPriority w:val="99"/>
    <w:rPr>
      <w:sz w:val="21"/>
      <w:szCs w:val="21"/>
    </w:rPr>
  </w:style>
  <w:style w:type="paragraph" w:styleId="9">
    <w:name w:val="List Paragraph"/>
    <w:basedOn w:val="1"/>
    <w:qFormat/>
    <w:uiPriority w:val="34"/>
    <w:pPr>
      <w:widowControl w:val="0"/>
      <w:ind w:firstLine="420" w:firstLineChars="200"/>
      <w:jc w:val="both"/>
    </w:pPr>
    <w:rPr>
      <w:rFonts w:ascii="等线" w:hAnsi="等线" w:cs="宋体"/>
      <w:kern w:val="2"/>
    </w:rPr>
  </w:style>
  <w:style w:type="character" w:customStyle="1" w:styleId="10">
    <w:name w:val="批注文字字符"/>
    <w:basedOn w:val="7"/>
    <w:link w:val="2"/>
    <w:qFormat/>
    <w:uiPriority w:val="99"/>
    <w:rPr>
      <w:rFonts w:ascii="Tahoma" w:hAnsi="Tahoma" w:eastAsia="微软雅黑"/>
      <w:kern w:val="0"/>
      <w:sz w:val="22"/>
      <w:szCs w:val="22"/>
    </w:rPr>
  </w:style>
  <w:style w:type="character" w:customStyle="1" w:styleId="11">
    <w:name w:val="批注框文本字符"/>
    <w:basedOn w:val="7"/>
    <w:link w:val="3"/>
    <w:qFormat/>
    <w:uiPriority w:val="99"/>
    <w:rPr>
      <w:rFonts w:ascii="宋体" w:hAnsi="Times New Roman" w:eastAsia="宋体" w:cs="Times New Roman"/>
      <w:kern w:val="0"/>
      <w:sz w:val="18"/>
      <w:szCs w:val="18"/>
    </w:rPr>
  </w:style>
  <w:style w:type="character" w:customStyle="1" w:styleId="12">
    <w:name w:val="页眉字符"/>
    <w:basedOn w:val="7"/>
    <w:link w:val="5"/>
    <w:qFormat/>
    <w:uiPriority w:val="99"/>
    <w:rPr>
      <w:rFonts w:ascii="Times New Roman" w:hAnsi="Times New Roman" w:eastAsia="等线" w:cs="Times New Roman"/>
      <w:sz w:val="18"/>
      <w:szCs w:val="18"/>
    </w:rPr>
  </w:style>
  <w:style w:type="character" w:customStyle="1" w:styleId="13">
    <w:name w:val="页脚字符"/>
    <w:basedOn w:val="7"/>
    <w:link w:val="4"/>
    <w:qFormat/>
    <w:uiPriority w:val="99"/>
    <w:rPr>
      <w:rFonts w:ascii="Times New Roman" w:hAnsi="Times New Roman" w:eastAsia="等线"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53FB04-3A89-4F44-A716-F702CFA33FBD}">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1256</Words>
  <Characters>1282</Characters>
  <Lines>53</Lines>
  <Paragraphs>52</Paragraphs>
  <TotalTime>2</TotalTime>
  <ScaleCrop>false</ScaleCrop>
  <LinksUpToDate>false</LinksUpToDate>
  <CharactersWithSpaces>2486</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2019-09-23T05:49:00Z</dcterms:created>
  <dc:creator>Microsoft Office 用户</dc:creator>
  <cp:lastModifiedBy>巴尼酱~</cp:lastModifiedBy>
  <dcterms:modified xsi:type="dcterms:W3CDTF">2019-11-13T06:48:03Z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