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cs="仿宋_GB2312"/>
          <w:sz w:val="30"/>
          <w:szCs w:val="30"/>
        </w:rPr>
      </w:pPr>
      <w:r>
        <w:rPr>
          <w:rFonts w:hint="eastAsia" w:ascii="黑体" w:hAnsi="仿宋" w:eastAsia="黑体" w:cs="仿宋_GB2312"/>
          <w:kern w:val="2"/>
          <w:sz w:val="30"/>
          <w:szCs w:val="30"/>
          <w:lang w:eastAsia="zh-CN" w:bidi="ar"/>
        </w:rPr>
        <w:t>附件2</w:t>
      </w:r>
    </w:p>
    <w:p>
      <w:pPr>
        <w:spacing w:after="180" w:afterLines="50"/>
        <w:jc w:val="center"/>
        <w:rPr>
          <w:rFonts w:hint="eastAsia" w:ascii="方正小标宋简体" w:hAnsi="仿宋" w:eastAsia="方正小标宋简体" w:cs="仿宋_GB2312"/>
          <w:kern w:val="0"/>
          <w:sz w:val="32"/>
          <w:szCs w:val="32"/>
        </w:rPr>
      </w:pPr>
      <w:r>
        <w:rPr>
          <w:rFonts w:hint="eastAsia" w:ascii="方正小标宋简体" w:hAnsi="仿宋" w:eastAsia="方正小标宋简体" w:cs="仿宋_GB2312"/>
          <w:kern w:val="0"/>
          <w:sz w:val="32"/>
          <w:szCs w:val="32"/>
          <w:lang w:eastAsia="zh-CN" w:bidi="ar"/>
        </w:rPr>
        <w:t>科技项目资金支出内容规定</w:t>
      </w:r>
    </w:p>
    <w:tbl>
      <w:tblPr>
        <w:tblStyle w:val="3"/>
        <w:tblW w:w="0" w:type="auto"/>
        <w:tblInd w:w="0" w:type="dxa"/>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719"/>
        <w:gridCol w:w="1516"/>
        <w:gridCol w:w="4048"/>
        <w:gridCol w:w="2537"/>
      </w:tblGrid>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719" w:type="dxa"/>
            <w:tcBorders>
              <w:top w:val="single" w:color="000000" w:sz="12" w:space="0"/>
              <w:left w:val="nil"/>
              <w:bottom w:val="single" w:color="auto" w:sz="12" w:space="0"/>
              <w:right w:val="single" w:color="auto" w:sz="12" w:space="0"/>
            </w:tcBorders>
            <w:noWrap w:val="0"/>
            <w:vAlign w:val="top"/>
          </w:tcPr>
          <w:p>
            <w:pPr>
              <w:jc w:val="center"/>
              <w:rPr>
                <w:rFonts w:hint="eastAsia" w:ascii="仿宋" w:hAnsi="仿宋" w:eastAsia="仿宋" w:cs="仿宋_GB2312"/>
                <w:b/>
                <w:iCs/>
                <w:sz w:val="24"/>
                <w:szCs w:val="24"/>
              </w:rPr>
            </w:pPr>
            <w:r>
              <w:rPr>
                <w:rFonts w:hint="eastAsia" w:ascii="仿宋" w:hAnsi="仿宋" w:eastAsia="仿宋" w:cs="仿宋_GB2312"/>
                <w:b/>
                <w:iCs/>
                <w:kern w:val="2"/>
                <w:sz w:val="24"/>
                <w:szCs w:val="24"/>
                <w:lang w:eastAsia="zh-CN" w:bidi="ar"/>
              </w:rPr>
              <w:t>序号</w:t>
            </w:r>
          </w:p>
        </w:tc>
        <w:tc>
          <w:tcPr>
            <w:tcW w:w="1516" w:type="dxa"/>
            <w:tcBorders>
              <w:top w:val="single" w:color="000000" w:sz="12" w:space="0"/>
              <w:left w:val="single" w:color="auto" w:sz="12" w:space="0"/>
              <w:bottom w:val="single" w:color="auto" w:sz="12" w:space="0"/>
              <w:right w:val="single" w:color="auto" w:sz="12" w:space="0"/>
            </w:tcBorders>
            <w:noWrap w:val="0"/>
            <w:vAlign w:val="top"/>
          </w:tcPr>
          <w:p>
            <w:pPr>
              <w:jc w:val="center"/>
              <w:rPr>
                <w:rFonts w:hint="eastAsia" w:ascii="仿宋" w:hAnsi="仿宋" w:eastAsia="仿宋" w:cs="仿宋_GB2312"/>
                <w:b/>
                <w:iCs/>
                <w:sz w:val="24"/>
                <w:szCs w:val="24"/>
              </w:rPr>
            </w:pPr>
            <w:r>
              <w:rPr>
                <w:rFonts w:hint="eastAsia" w:ascii="仿宋" w:hAnsi="仿宋" w:eastAsia="仿宋" w:cs="仿宋_GB2312"/>
                <w:b/>
                <w:iCs/>
                <w:kern w:val="2"/>
                <w:sz w:val="24"/>
                <w:szCs w:val="24"/>
                <w:lang w:eastAsia="zh-CN" w:bidi="ar"/>
              </w:rPr>
              <w:t>类  别</w:t>
            </w:r>
          </w:p>
        </w:tc>
        <w:tc>
          <w:tcPr>
            <w:tcW w:w="4048" w:type="dxa"/>
            <w:tcBorders>
              <w:top w:val="single" w:color="000000" w:sz="12" w:space="0"/>
              <w:left w:val="single" w:color="auto" w:sz="12" w:space="0"/>
              <w:bottom w:val="single" w:color="auto" w:sz="12" w:space="0"/>
              <w:right w:val="single" w:color="auto" w:sz="12" w:space="0"/>
            </w:tcBorders>
            <w:noWrap w:val="0"/>
            <w:vAlign w:val="top"/>
          </w:tcPr>
          <w:p>
            <w:pPr>
              <w:jc w:val="center"/>
              <w:rPr>
                <w:rFonts w:hint="eastAsia" w:ascii="仿宋" w:hAnsi="仿宋" w:eastAsia="仿宋" w:cs="仿宋_GB2312"/>
                <w:b/>
                <w:iCs/>
                <w:sz w:val="24"/>
                <w:szCs w:val="24"/>
              </w:rPr>
            </w:pPr>
            <w:r>
              <w:rPr>
                <w:rFonts w:hint="eastAsia" w:ascii="仿宋" w:hAnsi="仿宋" w:eastAsia="仿宋" w:cs="仿宋_GB2312"/>
                <w:b/>
                <w:iCs/>
                <w:kern w:val="2"/>
                <w:sz w:val="24"/>
                <w:szCs w:val="24"/>
                <w:lang w:eastAsia="zh-CN" w:bidi="ar"/>
              </w:rPr>
              <w:t>具体内容</w:t>
            </w:r>
          </w:p>
        </w:tc>
        <w:tc>
          <w:tcPr>
            <w:tcW w:w="2537" w:type="dxa"/>
            <w:tcBorders>
              <w:top w:val="single" w:color="000000" w:sz="12" w:space="0"/>
              <w:left w:val="single" w:color="auto" w:sz="12" w:space="0"/>
              <w:bottom w:val="single" w:color="auto" w:sz="12" w:space="0"/>
              <w:right w:val="nil"/>
            </w:tcBorders>
            <w:noWrap w:val="0"/>
            <w:vAlign w:val="top"/>
          </w:tcPr>
          <w:p>
            <w:pPr>
              <w:jc w:val="center"/>
              <w:rPr>
                <w:rFonts w:hint="eastAsia" w:ascii="仿宋" w:hAnsi="仿宋" w:eastAsia="仿宋" w:cs="仿宋_GB2312"/>
                <w:b/>
                <w:sz w:val="24"/>
                <w:szCs w:val="24"/>
              </w:rPr>
            </w:pPr>
            <w:r>
              <w:rPr>
                <w:rFonts w:hint="eastAsia" w:ascii="仿宋" w:hAnsi="仿宋" w:eastAsia="仿宋" w:cs="仿宋_GB2312"/>
                <w:b/>
                <w:kern w:val="2"/>
                <w:sz w:val="24"/>
                <w:szCs w:val="24"/>
                <w:lang w:eastAsia="zh-CN" w:bidi="ar"/>
              </w:rPr>
              <w:t>备  注</w:t>
            </w: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719" w:type="dxa"/>
            <w:tcBorders>
              <w:top w:val="single" w:color="auto" w:sz="12" w:space="0"/>
              <w:left w:val="nil"/>
              <w:bottom w:val="nil"/>
              <w:right w:val="single" w:color="auto" w:sz="12" w:space="0"/>
            </w:tcBorders>
            <w:noWrap w:val="0"/>
            <w:vAlign w:val="top"/>
          </w:tcPr>
          <w:p>
            <w:pPr>
              <w:jc w:val="center"/>
              <w:rPr>
                <w:rFonts w:hint="eastAsia" w:ascii="仿宋" w:hAnsi="仿宋" w:eastAsia="仿宋" w:cs="仿宋_GB2312"/>
                <w:sz w:val="24"/>
                <w:szCs w:val="24"/>
              </w:rPr>
            </w:pPr>
          </w:p>
        </w:tc>
        <w:tc>
          <w:tcPr>
            <w:tcW w:w="1516" w:type="dxa"/>
            <w:tcBorders>
              <w:top w:val="single" w:color="auto" w:sz="12" w:space="0"/>
              <w:left w:val="single" w:color="auto" w:sz="12" w:space="0"/>
              <w:bottom w:val="nil"/>
              <w:right w:val="single" w:color="auto" w:sz="12" w:space="0"/>
            </w:tcBorders>
            <w:noWrap w:val="0"/>
            <w:vAlign w:val="top"/>
          </w:tcPr>
          <w:p>
            <w:pPr>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直接费用</w:t>
            </w:r>
          </w:p>
        </w:tc>
        <w:tc>
          <w:tcPr>
            <w:tcW w:w="4048" w:type="dxa"/>
            <w:tcBorders>
              <w:top w:val="single" w:color="auto" w:sz="12" w:space="0"/>
              <w:left w:val="single" w:color="auto" w:sz="12" w:space="0"/>
              <w:bottom w:val="single" w:color="auto" w:sz="4" w:space="0"/>
              <w:right w:val="single" w:color="auto" w:sz="12" w:space="0"/>
            </w:tcBorders>
            <w:noWrap w:val="0"/>
            <w:vAlign w:val="top"/>
          </w:tcPr>
          <w:p>
            <w:pPr>
              <w:rPr>
                <w:rFonts w:hint="eastAsia" w:ascii="仿宋" w:hAnsi="仿宋" w:eastAsia="仿宋" w:cs="仿宋_GB2312"/>
                <w:kern w:val="0"/>
                <w:sz w:val="24"/>
                <w:szCs w:val="24"/>
              </w:rPr>
            </w:pPr>
          </w:p>
        </w:tc>
        <w:tc>
          <w:tcPr>
            <w:tcW w:w="2537" w:type="dxa"/>
            <w:tcBorders>
              <w:top w:val="single" w:color="auto" w:sz="12" w:space="0"/>
              <w:left w:val="single" w:color="auto" w:sz="12" w:space="0"/>
              <w:bottom w:val="single" w:color="auto" w:sz="4" w:space="0"/>
              <w:right w:val="nil"/>
            </w:tcBorders>
            <w:noWrap w:val="0"/>
            <w:vAlign w:val="top"/>
          </w:tcPr>
          <w:p>
            <w:pPr>
              <w:rPr>
                <w:rFonts w:hint="eastAsia" w:ascii="仿宋" w:hAnsi="仿宋" w:eastAsia="仿宋" w:cs="仿宋_GB2312"/>
                <w:sz w:val="24"/>
                <w:szCs w:val="24"/>
              </w:rPr>
            </w:pP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719" w:type="dxa"/>
            <w:vMerge w:val="restart"/>
            <w:tcBorders>
              <w:top w:val="single" w:color="auto" w:sz="12" w:space="0"/>
              <w:left w:val="nil"/>
              <w:bottom w:val="single" w:color="auto" w:sz="4" w:space="0"/>
              <w:right w:val="single" w:color="auto" w:sz="12" w:space="0"/>
            </w:tcBorders>
            <w:noWrap w:val="0"/>
            <w:vAlign w:val="top"/>
          </w:tcPr>
          <w:p>
            <w:pPr>
              <w:jc w:val="center"/>
              <w:rPr>
                <w:rFonts w:hint="eastAsia" w:ascii="仿宋" w:hAnsi="仿宋" w:eastAsia="仿宋" w:cs="仿宋_GB2312"/>
                <w:sz w:val="24"/>
                <w:szCs w:val="24"/>
              </w:rPr>
            </w:pPr>
            <w:r>
              <w:rPr>
                <w:rFonts w:hint="eastAsia" w:ascii="仿宋" w:hAnsi="仿宋" w:eastAsia="仿宋" w:cs="仿宋_GB2312"/>
                <w:kern w:val="2"/>
                <w:sz w:val="24"/>
                <w:szCs w:val="24"/>
                <w:lang w:eastAsia="zh-CN" w:bidi="ar"/>
              </w:rPr>
              <w:t>1</w:t>
            </w:r>
          </w:p>
          <w:p>
            <w:pPr>
              <w:jc w:val="center"/>
              <w:rPr>
                <w:rFonts w:hint="eastAsia" w:ascii="仿宋" w:hAnsi="仿宋" w:eastAsia="仿宋" w:cs="仿宋_GB2312"/>
                <w:sz w:val="24"/>
                <w:szCs w:val="24"/>
              </w:rPr>
            </w:pPr>
          </w:p>
          <w:p>
            <w:pPr>
              <w:jc w:val="center"/>
              <w:rPr>
                <w:rFonts w:hint="eastAsia" w:ascii="仿宋" w:hAnsi="仿宋" w:eastAsia="仿宋" w:cs="仿宋_GB2312"/>
                <w:sz w:val="24"/>
                <w:szCs w:val="24"/>
              </w:rPr>
            </w:pPr>
          </w:p>
        </w:tc>
        <w:tc>
          <w:tcPr>
            <w:tcW w:w="1516" w:type="dxa"/>
            <w:vMerge w:val="restart"/>
            <w:tcBorders>
              <w:top w:val="single" w:color="auto" w:sz="12" w:space="0"/>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设备费</w:t>
            </w:r>
          </w:p>
        </w:tc>
        <w:tc>
          <w:tcPr>
            <w:tcW w:w="4048" w:type="dxa"/>
            <w:tcBorders>
              <w:top w:val="single" w:color="auto" w:sz="12" w:space="0"/>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1.购置或试制的专用仪器设备</w:t>
            </w:r>
          </w:p>
        </w:tc>
        <w:tc>
          <w:tcPr>
            <w:tcW w:w="2537" w:type="dxa"/>
            <w:vMerge w:val="restart"/>
            <w:tcBorders>
              <w:top w:val="single" w:color="auto" w:sz="12" w:space="0"/>
              <w:left w:val="single" w:color="auto" w:sz="12" w:space="0"/>
              <w:right w:val="nil"/>
            </w:tcBorders>
            <w:noWrap w:val="0"/>
            <w:vAlign w:val="top"/>
          </w:tcPr>
          <w:p>
            <w:pPr>
              <w:rPr>
                <w:rFonts w:hint="eastAsia" w:ascii="仿宋" w:hAnsi="仿宋" w:eastAsia="仿宋" w:cs="仿宋_GB2312"/>
                <w:sz w:val="24"/>
                <w:szCs w:val="24"/>
              </w:rPr>
            </w:pP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719" w:type="dxa"/>
            <w:vMerge w:val="continue"/>
            <w:tcBorders>
              <w:top w:val="single" w:color="auto" w:sz="12" w:space="0"/>
              <w:left w:val="nil"/>
              <w:bottom w:val="single" w:color="auto" w:sz="4" w:space="0"/>
              <w:right w:val="single" w:color="auto" w:sz="12" w:space="0"/>
            </w:tcBorders>
            <w:noWrap w:val="0"/>
            <w:vAlign w:val="top"/>
          </w:tcPr>
          <w:p>
            <w:pPr>
              <w:rPr>
                <w:rFonts w:hint="eastAsia" w:ascii="仿宋" w:hAnsi="仿宋" w:eastAsia="仿宋" w:cs="仿宋_GB2312"/>
                <w:sz w:val="24"/>
                <w:szCs w:val="24"/>
              </w:rPr>
            </w:pPr>
          </w:p>
        </w:tc>
        <w:tc>
          <w:tcPr>
            <w:tcW w:w="1516" w:type="dxa"/>
            <w:vMerge w:val="continue"/>
            <w:tcBorders>
              <w:top w:val="single" w:color="auto" w:sz="12" w:space="0"/>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p>
        </w:tc>
        <w:tc>
          <w:tcPr>
            <w:tcW w:w="4048" w:type="dxa"/>
            <w:tcBorders>
              <w:top w:val="single" w:color="auto" w:sz="4" w:space="0"/>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2.仪器设备的升级改造及租赁外单位的仪器设备而发生的费用</w:t>
            </w:r>
          </w:p>
        </w:tc>
        <w:tc>
          <w:tcPr>
            <w:tcW w:w="2537" w:type="dxa"/>
            <w:vMerge w:val="continue"/>
            <w:tcBorders>
              <w:left w:val="single" w:color="auto" w:sz="12" w:space="0"/>
              <w:right w:val="nil"/>
            </w:tcBorders>
            <w:noWrap w:val="0"/>
            <w:vAlign w:val="top"/>
          </w:tcPr>
          <w:p>
            <w:pPr>
              <w:rPr>
                <w:rFonts w:hint="eastAsia" w:ascii="仿宋" w:hAnsi="仿宋" w:eastAsia="仿宋" w:cs="仿宋_GB2312"/>
                <w:sz w:val="24"/>
                <w:szCs w:val="24"/>
              </w:rPr>
            </w:pP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80" w:hRule="atLeast"/>
        </w:trPr>
        <w:tc>
          <w:tcPr>
            <w:tcW w:w="719" w:type="dxa"/>
            <w:vMerge w:val="continue"/>
            <w:tcBorders>
              <w:top w:val="single" w:color="auto" w:sz="12" w:space="0"/>
              <w:left w:val="nil"/>
              <w:bottom w:val="single" w:color="auto" w:sz="4" w:space="0"/>
              <w:right w:val="single" w:color="auto" w:sz="12" w:space="0"/>
            </w:tcBorders>
            <w:noWrap w:val="0"/>
            <w:vAlign w:val="top"/>
          </w:tcPr>
          <w:p>
            <w:pPr>
              <w:rPr>
                <w:rFonts w:hint="eastAsia" w:ascii="仿宋" w:hAnsi="仿宋" w:eastAsia="仿宋" w:cs="仿宋_GB2312"/>
                <w:sz w:val="24"/>
                <w:szCs w:val="24"/>
              </w:rPr>
            </w:pPr>
          </w:p>
        </w:tc>
        <w:tc>
          <w:tcPr>
            <w:tcW w:w="1516" w:type="dxa"/>
            <w:vMerge w:val="continue"/>
            <w:tcBorders>
              <w:top w:val="single" w:color="auto" w:sz="12" w:space="0"/>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p>
        </w:tc>
        <w:tc>
          <w:tcPr>
            <w:tcW w:w="4048" w:type="dxa"/>
            <w:tcBorders>
              <w:top w:val="single" w:color="auto" w:sz="4" w:space="0"/>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3.购买的生物资产</w:t>
            </w:r>
          </w:p>
        </w:tc>
        <w:tc>
          <w:tcPr>
            <w:tcW w:w="2537" w:type="dxa"/>
            <w:vMerge w:val="continue"/>
            <w:tcBorders>
              <w:left w:val="single" w:color="auto" w:sz="12" w:space="0"/>
              <w:bottom w:val="single" w:color="auto" w:sz="4" w:space="0"/>
              <w:right w:val="nil"/>
            </w:tcBorders>
            <w:noWrap w:val="0"/>
            <w:vAlign w:val="top"/>
          </w:tcPr>
          <w:p>
            <w:pPr>
              <w:rPr>
                <w:rFonts w:hint="eastAsia" w:ascii="仿宋" w:hAnsi="仿宋" w:eastAsia="仿宋" w:cs="仿宋_GB2312"/>
                <w:sz w:val="24"/>
                <w:szCs w:val="24"/>
              </w:rPr>
            </w:pP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45" w:hRule="atLeast"/>
        </w:trPr>
        <w:tc>
          <w:tcPr>
            <w:tcW w:w="719" w:type="dxa"/>
            <w:vMerge w:val="restart"/>
            <w:tcBorders>
              <w:top w:val="nil"/>
              <w:left w:val="nil"/>
              <w:bottom w:val="single" w:color="auto" w:sz="4" w:space="0"/>
              <w:right w:val="single" w:color="auto" w:sz="12" w:space="0"/>
            </w:tcBorders>
            <w:noWrap w:val="0"/>
            <w:vAlign w:val="top"/>
          </w:tcPr>
          <w:p>
            <w:pPr>
              <w:jc w:val="center"/>
              <w:rPr>
                <w:rFonts w:hint="eastAsia" w:ascii="仿宋" w:hAnsi="仿宋" w:eastAsia="仿宋" w:cs="仿宋_GB2312"/>
                <w:sz w:val="24"/>
                <w:szCs w:val="24"/>
              </w:rPr>
            </w:pPr>
            <w:r>
              <w:rPr>
                <w:rFonts w:hint="eastAsia" w:ascii="仿宋" w:hAnsi="仿宋" w:eastAsia="仿宋" w:cs="仿宋_GB2312"/>
                <w:kern w:val="2"/>
                <w:sz w:val="24"/>
                <w:szCs w:val="24"/>
                <w:lang w:eastAsia="zh-CN" w:bidi="ar"/>
              </w:rPr>
              <w:t>2</w:t>
            </w:r>
          </w:p>
          <w:p>
            <w:pPr>
              <w:jc w:val="center"/>
              <w:rPr>
                <w:rFonts w:hint="eastAsia" w:ascii="仿宋" w:hAnsi="仿宋" w:eastAsia="仿宋" w:cs="仿宋_GB2312"/>
                <w:sz w:val="24"/>
                <w:szCs w:val="24"/>
              </w:rPr>
            </w:pPr>
          </w:p>
        </w:tc>
        <w:tc>
          <w:tcPr>
            <w:tcW w:w="1516" w:type="dxa"/>
            <w:vMerge w:val="restart"/>
            <w:tcBorders>
              <w:top w:val="nil"/>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材料费</w:t>
            </w:r>
          </w:p>
        </w:tc>
        <w:tc>
          <w:tcPr>
            <w:tcW w:w="4048" w:type="dxa"/>
            <w:tcBorders>
              <w:top w:val="nil"/>
              <w:left w:val="single" w:color="auto" w:sz="12" w:space="0"/>
              <w:bottom w:val="single" w:color="auto" w:sz="4" w:space="0"/>
              <w:right w:val="single" w:color="auto" w:sz="12" w:space="0"/>
            </w:tcBorders>
            <w:noWrap w:val="0"/>
            <w:vAlign w:val="top"/>
          </w:tcPr>
          <w:p>
            <w:pPr>
              <w:jc w:val="left"/>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1.消耗的各种原材料、辅助材料等，低值易耗品的采购及运输、装卸、整理等费用</w:t>
            </w:r>
          </w:p>
        </w:tc>
        <w:tc>
          <w:tcPr>
            <w:tcW w:w="2537" w:type="dxa"/>
            <w:vMerge w:val="restart"/>
            <w:tcBorders>
              <w:top w:val="nil"/>
              <w:left w:val="single" w:color="auto" w:sz="12" w:space="0"/>
              <w:right w:val="nil"/>
            </w:tcBorders>
            <w:noWrap w:val="0"/>
            <w:vAlign w:val="top"/>
          </w:tcPr>
          <w:p>
            <w:pPr>
              <w:rPr>
                <w:rFonts w:hint="eastAsia" w:ascii="仿宋" w:hAnsi="仿宋" w:eastAsia="仿宋" w:cs="仿宋_GB2312"/>
                <w:sz w:val="24"/>
                <w:szCs w:val="24"/>
              </w:rPr>
            </w:pP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88" w:hRule="atLeast"/>
        </w:trPr>
        <w:tc>
          <w:tcPr>
            <w:tcW w:w="719" w:type="dxa"/>
            <w:vMerge w:val="continue"/>
            <w:tcBorders>
              <w:top w:val="nil"/>
              <w:left w:val="nil"/>
              <w:bottom w:val="single" w:color="auto" w:sz="4" w:space="0"/>
              <w:right w:val="single" w:color="auto" w:sz="12" w:space="0"/>
            </w:tcBorders>
            <w:noWrap w:val="0"/>
            <w:vAlign w:val="top"/>
          </w:tcPr>
          <w:p>
            <w:pPr>
              <w:rPr>
                <w:rFonts w:hint="eastAsia" w:ascii="仿宋" w:hAnsi="仿宋" w:eastAsia="仿宋" w:cs="仿宋_GB2312"/>
                <w:sz w:val="24"/>
                <w:szCs w:val="24"/>
              </w:rPr>
            </w:pPr>
          </w:p>
        </w:tc>
        <w:tc>
          <w:tcPr>
            <w:tcW w:w="1516" w:type="dxa"/>
            <w:vMerge w:val="continue"/>
            <w:tcBorders>
              <w:top w:val="nil"/>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p>
        </w:tc>
        <w:tc>
          <w:tcPr>
            <w:tcW w:w="4048" w:type="dxa"/>
            <w:tcBorders>
              <w:top w:val="single" w:color="auto" w:sz="4" w:space="0"/>
              <w:left w:val="single" w:color="auto" w:sz="12" w:space="0"/>
              <w:bottom w:val="single" w:color="auto" w:sz="4" w:space="0"/>
              <w:right w:val="single" w:color="auto" w:sz="12" w:space="0"/>
            </w:tcBorders>
            <w:noWrap w:val="0"/>
            <w:vAlign w:val="top"/>
          </w:tcPr>
          <w:p>
            <w:pPr>
              <w:jc w:val="left"/>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2.试验(或区试、示范)用种子、苗木、活体动物、生产资料等</w:t>
            </w:r>
          </w:p>
        </w:tc>
        <w:tc>
          <w:tcPr>
            <w:tcW w:w="2537" w:type="dxa"/>
            <w:vMerge w:val="continue"/>
            <w:tcBorders>
              <w:left w:val="single" w:color="auto" w:sz="12" w:space="0"/>
              <w:bottom w:val="single" w:color="auto" w:sz="4" w:space="0"/>
              <w:right w:val="nil"/>
            </w:tcBorders>
            <w:noWrap w:val="0"/>
            <w:vAlign w:val="top"/>
          </w:tcPr>
          <w:p>
            <w:pPr>
              <w:rPr>
                <w:rFonts w:hint="eastAsia" w:ascii="仿宋" w:hAnsi="仿宋" w:eastAsia="仿宋" w:cs="仿宋_GB2312"/>
                <w:sz w:val="24"/>
                <w:szCs w:val="24"/>
              </w:rPr>
            </w:pP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40" w:hRule="atLeast"/>
        </w:trPr>
        <w:tc>
          <w:tcPr>
            <w:tcW w:w="719" w:type="dxa"/>
            <w:tcBorders>
              <w:top w:val="nil"/>
              <w:left w:val="nil"/>
              <w:bottom w:val="single" w:color="auto" w:sz="4" w:space="0"/>
              <w:right w:val="single" w:color="auto" w:sz="12" w:space="0"/>
            </w:tcBorders>
            <w:noWrap w:val="0"/>
            <w:vAlign w:val="top"/>
          </w:tcPr>
          <w:p>
            <w:pPr>
              <w:jc w:val="center"/>
              <w:rPr>
                <w:rFonts w:hint="eastAsia" w:ascii="仿宋" w:hAnsi="仿宋" w:eastAsia="仿宋" w:cs="仿宋_GB2312"/>
                <w:sz w:val="24"/>
                <w:szCs w:val="24"/>
              </w:rPr>
            </w:pPr>
            <w:r>
              <w:rPr>
                <w:rFonts w:hint="eastAsia" w:ascii="仿宋" w:hAnsi="仿宋" w:eastAsia="仿宋" w:cs="仿宋_GB2312"/>
                <w:kern w:val="2"/>
                <w:sz w:val="24"/>
                <w:szCs w:val="24"/>
                <w:lang w:eastAsia="zh-CN" w:bidi="ar"/>
              </w:rPr>
              <w:t>3</w:t>
            </w:r>
          </w:p>
          <w:p>
            <w:pPr>
              <w:jc w:val="center"/>
              <w:rPr>
                <w:rFonts w:hint="eastAsia" w:ascii="仿宋" w:hAnsi="仿宋" w:eastAsia="仿宋" w:cs="仿宋_GB2312"/>
                <w:sz w:val="24"/>
                <w:szCs w:val="24"/>
              </w:rPr>
            </w:pPr>
          </w:p>
        </w:tc>
        <w:tc>
          <w:tcPr>
            <w:tcW w:w="1516" w:type="dxa"/>
            <w:tcBorders>
              <w:top w:val="nil"/>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测试分析费</w:t>
            </w:r>
          </w:p>
        </w:tc>
        <w:tc>
          <w:tcPr>
            <w:tcW w:w="4048" w:type="dxa"/>
            <w:tcBorders>
              <w:top w:val="nil"/>
              <w:left w:val="single" w:color="auto" w:sz="12" w:space="0"/>
              <w:bottom w:val="single" w:color="auto" w:sz="4" w:space="0"/>
              <w:right w:val="single" w:color="auto" w:sz="12" w:space="0"/>
            </w:tcBorders>
            <w:noWrap w:val="0"/>
            <w:vAlign w:val="top"/>
          </w:tcPr>
          <w:p>
            <w:pPr>
              <w:widowControl/>
              <w:jc w:val="left"/>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项目实施过程中支付的检验、测试、化验及加工等费用</w:t>
            </w:r>
          </w:p>
        </w:tc>
        <w:tc>
          <w:tcPr>
            <w:tcW w:w="2537" w:type="dxa"/>
            <w:tcBorders>
              <w:top w:val="nil"/>
              <w:left w:val="single" w:color="auto" w:sz="12" w:space="0"/>
              <w:bottom w:val="single" w:color="auto" w:sz="4" w:space="0"/>
              <w:right w:val="nil"/>
            </w:tcBorders>
            <w:noWrap w:val="0"/>
            <w:vAlign w:val="top"/>
          </w:tcPr>
          <w:p>
            <w:pPr>
              <w:rPr>
                <w:rFonts w:hint="eastAsia" w:ascii="仿宋" w:hAnsi="仿宋" w:eastAsia="仿宋" w:cs="仿宋_GB2312"/>
                <w:sz w:val="24"/>
                <w:szCs w:val="24"/>
              </w:rPr>
            </w:pP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95" w:hRule="atLeast"/>
        </w:trPr>
        <w:tc>
          <w:tcPr>
            <w:tcW w:w="719" w:type="dxa"/>
            <w:tcBorders>
              <w:top w:val="nil"/>
              <w:left w:val="nil"/>
              <w:bottom w:val="single" w:color="auto" w:sz="4" w:space="0"/>
              <w:right w:val="single" w:color="auto" w:sz="12" w:space="0"/>
            </w:tcBorders>
            <w:noWrap w:val="0"/>
            <w:vAlign w:val="top"/>
          </w:tcPr>
          <w:p>
            <w:pPr>
              <w:jc w:val="center"/>
              <w:rPr>
                <w:rFonts w:hint="eastAsia" w:ascii="仿宋" w:hAnsi="仿宋" w:eastAsia="仿宋" w:cs="仿宋_GB2312"/>
                <w:sz w:val="24"/>
                <w:szCs w:val="24"/>
              </w:rPr>
            </w:pPr>
            <w:r>
              <w:rPr>
                <w:rFonts w:hint="eastAsia" w:ascii="仿宋" w:hAnsi="仿宋" w:eastAsia="仿宋" w:cs="仿宋_GB2312"/>
                <w:kern w:val="2"/>
                <w:sz w:val="24"/>
                <w:szCs w:val="24"/>
                <w:lang w:eastAsia="zh-CN" w:bidi="ar"/>
              </w:rPr>
              <w:t>4</w:t>
            </w:r>
          </w:p>
          <w:p>
            <w:pPr>
              <w:jc w:val="center"/>
              <w:rPr>
                <w:rFonts w:hint="eastAsia" w:ascii="仿宋" w:hAnsi="仿宋" w:eastAsia="仿宋" w:cs="仿宋_GB2312"/>
                <w:sz w:val="24"/>
                <w:szCs w:val="24"/>
              </w:rPr>
            </w:pPr>
          </w:p>
        </w:tc>
        <w:tc>
          <w:tcPr>
            <w:tcW w:w="1516" w:type="dxa"/>
            <w:tcBorders>
              <w:top w:val="nil"/>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燃料动力费</w:t>
            </w:r>
          </w:p>
        </w:tc>
        <w:tc>
          <w:tcPr>
            <w:tcW w:w="4048" w:type="dxa"/>
            <w:tcBorders>
              <w:top w:val="nil"/>
              <w:left w:val="single" w:color="auto" w:sz="12" w:space="0"/>
              <w:bottom w:val="single" w:color="auto" w:sz="4" w:space="0"/>
              <w:right w:val="single" w:color="auto" w:sz="12" w:space="0"/>
            </w:tcBorders>
            <w:noWrap w:val="0"/>
            <w:vAlign w:val="top"/>
          </w:tcPr>
          <w:p>
            <w:pPr>
              <w:widowControl/>
              <w:jc w:val="left"/>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相关大型仪器设备、专用装置及实验用地等单独计量的水、电、气、燃料消耗费用等</w:t>
            </w:r>
          </w:p>
        </w:tc>
        <w:tc>
          <w:tcPr>
            <w:tcW w:w="2537" w:type="dxa"/>
            <w:tcBorders>
              <w:top w:val="nil"/>
              <w:left w:val="single" w:color="auto" w:sz="12" w:space="0"/>
              <w:bottom w:val="single" w:color="auto" w:sz="4" w:space="0"/>
              <w:right w:val="nil"/>
            </w:tcBorders>
            <w:noWrap w:val="0"/>
            <w:vAlign w:val="top"/>
          </w:tcPr>
          <w:p>
            <w:pPr>
              <w:rPr>
                <w:rFonts w:hint="eastAsia" w:ascii="仿宋" w:hAnsi="仿宋" w:eastAsia="仿宋" w:cs="仿宋_GB2312"/>
                <w:sz w:val="24"/>
                <w:szCs w:val="24"/>
              </w:rPr>
            </w:pP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719" w:type="dxa"/>
            <w:tcBorders>
              <w:top w:val="nil"/>
              <w:left w:val="nil"/>
              <w:bottom w:val="nil"/>
              <w:right w:val="single" w:color="auto" w:sz="12" w:space="0"/>
            </w:tcBorders>
            <w:noWrap w:val="0"/>
            <w:vAlign w:val="top"/>
          </w:tcPr>
          <w:p>
            <w:pPr>
              <w:jc w:val="center"/>
              <w:rPr>
                <w:rFonts w:hint="eastAsia" w:ascii="仿宋" w:hAnsi="仿宋" w:eastAsia="仿宋" w:cs="仿宋_GB2312"/>
                <w:sz w:val="24"/>
                <w:szCs w:val="24"/>
              </w:rPr>
            </w:pPr>
            <w:r>
              <w:rPr>
                <w:rFonts w:hint="eastAsia" w:ascii="仿宋" w:hAnsi="仿宋" w:eastAsia="仿宋" w:cs="仿宋_GB2312"/>
                <w:kern w:val="2"/>
                <w:sz w:val="24"/>
                <w:szCs w:val="24"/>
                <w:lang w:eastAsia="zh-CN" w:bidi="ar"/>
              </w:rPr>
              <w:t>5</w:t>
            </w:r>
          </w:p>
          <w:p>
            <w:pPr>
              <w:jc w:val="center"/>
              <w:rPr>
                <w:rFonts w:hint="eastAsia" w:ascii="仿宋" w:hAnsi="仿宋" w:eastAsia="仿宋" w:cs="仿宋_GB2312"/>
                <w:sz w:val="24"/>
                <w:szCs w:val="24"/>
              </w:rPr>
            </w:pPr>
          </w:p>
        </w:tc>
        <w:tc>
          <w:tcPr>
            <w:tcW w:w="1516" w:type="dxa"/>
            <w:tcBorders>
              <w:top w:val="nil"/>
              <w:left w:val="single" w:color="auto" w:sz="12" w:space="0"/>
              <w:bottom w:val="nil"/>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差旅费</w:t>
            </w:r>
          </w:p>
        </w:tc>
        <w:tc>
          <w:tcPr>
            <w:tcW w:w="4048" w:type="dxa"/>
            <w:tcBorders>
              <w:top w:val="nil"/>
              <w:left w:val="single" w:color="auto" w:sz="12" w:space="0"/>
              <w:bottom w:val="nil"/>
              <w:right w:val="single" w:color="auto" w:sz="12" w:space="0"/>
            </w:tcBorders>
            <w:noWrap w:val="0"/>
            <w:vAlign w:val="top"/>
          </w:tcPr>
          <w:p>
            <w:pPr>
              <w:widowControl/>
              <w:jc w:val="left"/>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项目执行过程中开展科学实验资金试验)、科学考察、业务调研、学术交流等所发生的外埠差旅费、市内交通费用等</w:t>
            </w:r>
          </w:p>
        </w:tc>
        <w:tc>
          <w:tcPr>
            <w:tcW w:w="2537" w:type="dxa"/>
            <w:vMerge w:val="restart"/>
            <w:tcBorders>
              <w:top w:val="nil"/>
              <w:left w:val="single" w:color="auto" w:sz="12" w:space="0"/>
              <w:right w:val="nil"/>
            </w:tcBorders>
            <w:noWrap w:val="0"/>
            <w:vAlign w:val="top"/>
          </w:tcPr>
          <w:p>
            <w:pPr>
              <w:rPr>
                <w:rFonts w:ascii="仿宋" w:hAnsi="仿宋" w:eastAsia="仿宋" w:cs="仿宋_GB2312"/>
                <w:sz w:val="24"/>
                <w:szCs w:val="24"/>
              </w:rPr>
            </w:pPr>
            <w:r>
              <w:rPr>
                <w:rFonts w:hint="eastAsia" w:ascii="仿宋" w:hAnsi="仿宋" w:eastAsia="仿宋" w:cs="仿宋_GB2312"/>
                <w:kern w:val="2"/>
                <w:sz w:val="24"/>
                <w:szCs w:val="24"/>
                <w:lang w:eastAsia="zh-CN" w:bidi="ar"/>
              </w:rPr>
              <w:t>三项费用可以打通使用。按照差旅费、</w:t>
            </w:r>
            <w:r>
              <w:rPr>
                <w:rFonts w:hint="eastAsia" w:ascii="仿宋" w:hAnsi="仿宋" w:eastAsia="仿宋" w:cs="仿宋_GB2312"/>
                <w:kern w:val="0"/>
                <w:sz w:val="24"/>
                <w:szCs w:val="24"/>
                <w:lang w:eastAsia="zh-CN" w:bidi="ar"/>
              </w:rPr>
              <w:t>管理办法</w:t>
            </w:r>
            <w:r>
              <w:rPr>
                <w:rFonts w:hint="eastAsia" w:ascii="仿宋" w:hAnsi="仿宋" w:eastAsia="仿宋" w:cs="仿宋_GB2312"/>
                <w:kern w:val="2"/>
                <w:sz w:val="24"/>
                <w:szCs w:val="24"/>
                <w:lang w:eastAsia="zh-CN" w:bidi="ar"/>
              </w:rPr>
              <w:t>开支标准执行；国际交流执行</w:t>
            </w:r>
            <w:r>
              <w:rPr>
                <w:rFonts w:hint="eastAsia" w:ascii="仿宋" w:hAnsi="仿宋" w:eastAsia="仿宋" w:cs="仿宋_GB2312"/>
                <w:kern w:val="0"/>
                <w:sz w:val="24"/>
                <w:szCs w:val="24"/>
                <w:lang w:eastAsia="zh-CN" w:bidi="ar"/>
              </w:rPr>
              <w:t>国家及学校外事管理规定和费用支出标准</w:t>
            </w:r>
          </w:p>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执行</w:t>
            </w: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540" w:hRule="atLeast"/>
        </w:trPr>
        <w:tc>
          <w:tcPr>
            <w:tcW w:w="719" w:type="dxa"/>
            <w:tcBorders>
              <w:top w:val="single" w:color="auto" w:sz="4" w:space="0"/>
              <w:left w:val="nil"/>
              <w:bottom w:val="single" w:color="auto" w:sz="4" w:space="0"/>
              <w:right w:val="single" w:color="auto" w:sz="12" w:space="0"/>
            </w:tcBorders>
            <w:noWrap w:val="0"/>
            <w:vAlign w:val="top"/>
          </w:tcPr>
          <w:p>
            <w:pPr>
              <w:jc w:val="center"/>
              <w:rPr>
                <w:rFonts w:hint="eastAsia" w:ascii="仿宋" w:hAnsi="仿宋" w:eastAsia="仿宋" w:cs="仿宋_GB2312"/>
                <w:sz w:val="24"/>
                <w:szCs w:val="24"/>
              </w:rPr>
            </w:pPr>
            <w:r>
              <w:rPr>
                <w:rFonts w:hint="eastAsia" w:ascii="仿宋" w:hAnsi="仿宋" w:eastAsia="仿宋" w:cs="仿宋_GB2312"/>
                <w:kern w:val="2"/>
                <w:sz w:val="24"/>
                <w:szCs w:val="24"/>
                <w:lang w:eastAsia="zh-CN" w:bidi="ar"/>
              </w:rPr>
              <w:t>6</w:t>
            </w:r>
          </w:p>
          <w:p>
            <w:pPr>
              <w:jc w:val="center"/>
              <w:rPr>
                <w:rFonts w:hint="eastAsia" w:ascii="仿宋" w:hAnsi="仿宋" w:eastAsia="仿宋" w:cs="仿宋_GB2312"/>
                <w:sz w:val="24"/>
                <w:szCs w:val="24"/>
              </w:rPr>
            </w:pPr>
          </w:p>
        </w:tc>
        <w:tc>
          <w:tcPr>
            <w:tcW w:w="1516" w:type="dxa"/>
            <w:tcBorders>
              <w:top w:val="single" w:color="auto" w:sz="4" w:space="0"/>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会议费</w:t>
            </w:r>
          </w:p>
        </w:tc>
        <w:tc>
          <w:tcPr>
            <w:tcW w:w="4048" w:type="dxa"/>
            <w:tcBorders>
              <w:top w:val="single" w:color="auto" w:sz="4" w:space="0"/>
              <w:left w:val="single" w:color="auto" w:sz="12" w:space="0"/>
              <w:bottom w:val="single" w:color="auto" w:sz="4" w:space="0"/>
              <w:right w:val="single" w:color="auto" w:sz="12" w:space="0"/>
            </w:tcBorders>
            <w:noWrap w:val="0"/>
            <w:vAlign w:val="top"/>
          </w:tcPr>
          <w:p>
            <w:pPr>
              <w:widowControl/>
              <w:jc w:val="left"/>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组织开展学术研讨、咨询以及协调项目等课题活动而发生的会议费用</w:t>
            </w:r>
          </w:p>
        </w:tc>
        <w:tc>
          <w:tcPr>
            <w:tcW w:w="2537" w:type="dxa"/>
            <w:vMerge w:val="continue"/>
            <w:tcBorders>
              <w:left w:val="single" w:color="auto" w:sz="12" w:space="0"/>
              <w:right w:val="nil"/>
            </w:tcBorders>
            <w:noWrap w:val="0"/>
            <w:vAlign w:val="top"/>
          </w:tcPr>
          <w:p>
            <w:pPr>
              <w:rPr>
                <w:rFonts w:hint="eastAsia" w:ascii="仿宋" w:hAnsi="仿宋" w:eastAsia="仿宋" w:cs="仿宋_GB2312"/>
                <w:sz w:val="24"/>
                <w:szCs w:val="24"/>
              </w:rPr>
            </w:pP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110" w:hRule="atLeast"/>
        </w:trPr>
        <w:tc>
          <w:tcPr>
            <w:tcW w:w="719" w:type="dxa"/>
            <w:tcBorders>
              <w:top w:val="nil"/>
              <w:left w:val="nil"/>
              <w:bottom w:val="single" w:color="auto" w:sz="4" w:space="0"/>
              <w:right w:val="single" w:color="auto" w:sz="12" w:space="0"/>
            </w:tcBorders>
            <w:noWrap w:val="0"/>
            <w:vAlign w:val="top"/>
          </w:tcPr>
          <w:p>
            <w:pPr>
              <w:jc w:val="center"/>
              <w:rPr>
                <w:rFonts w:hint="eastAsia" w:ascii="仿宋" w:hAnsi="仿宋" w:eastAsia="仿宋" w:cs="仿宋_GB2312"/>
                <w:sz w:val="24"/>
                <w:szCs w:val="24"/>
              </w:rPr>
            </w:pPr>
            <w:r>
              <w:rPr>
                <w:rFonts w:hint="eastAsia" w:ascii="仿宋" w:hAnsi="仿宋" w:eastAsia="仿宋" w:cs="仿宋_GB2312"/>
                <w:kern w:val="2"/>
                <w:sz w:val="24"/>
                <w:szCs w:val="24"/>
                <w:lang w:eastAsia="zh-CN" w:bidi="ar"/>
              </w:rPr>
              <w:t>7</w:t>
            </w:r>
          </w:p>
          <w:p>
            <w:pPr>
              <w:jc w:val="center"/>
              <w:rPr>
                <w:rFonts w:hint="eastAsia" w:ascii="仿宋" w:hAnsi="仿宋" w:eastAsia="仿宋" w:cs="仿宋_GB2312"/>
                <w:sz w:val="24"/>
                <w:szCs w:val="24"/>
              </w:rPr>
            </w:pPr>
          </w:p>
        </w:tc>
        <w:tc>
          <w:tcPr>
            <w:tcW w:w="1516" w:type="dxa"/>
            <w:tcBorders>
              <w:top w:val="nil"/>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国际合作与交流费</w:t>
            </w:r>
          </w:p>
        </w:tc>
        <w:tc>
          <w:tcPr>
            <w:tcW w:w="4048" w:type="dxa"/>
            <w:tcBorders>
              <w:top w:val="nil"/>
              <w:left w:val="single" w:color="auto" w:sz="12" w:space="0"/>
              <w:bottom w:val="single" w:color="auto" w:sz="4" w:space="0"/>
              <w:right w:val="single" w:color="auto" w:sz="12" w:space="0"/>
            </w:tcBorders>
            <w:noWrap w:val="0"/>
            <w:vAlign w:val="top"/>
          </w:tcPr>
          <w:p>
            <w:pPr>
              <w:widowControl/>
              <w:jc w:val="left"/>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 xml:space="preserve">项目组成员赴国外、港澳台地区及外国专家来华、港澳台专家来内地工作的费用 </w:t>
            </w:r>
          </w:p>
        </w:tc>
        <w:tc>
          <w:tcPr>
            <w:tcW w:w="2537" w:type="dxa"/>
            <w:vMerge w:val="continue"/>
            <w:tcBorders>
              <w:left w:val="single" w:color="auto" w:sz="12" w:space="0"/>
              <w:bottom w:val="single" w:color="auto" w:sz="4" w:space="0"/>
              <w:right w:val="nil"/>
            </w:tcBorders>
            <w:noWrap w:val="0"/>
            <w:vAlign w:val="top"/>
          </w:tcPr>
          <w:p>
            <w:pPr>
              <w:rPr>
                <w:rFonts w:hint="eastAsia" w:ascii="仿宋" w:hAnsi="仿宋" w:eastAsia="仿宋" w:cs="仿宋_GB2312"/>
                <w:sz w:val="24"/>
                <w:szCs w:val="24"/>
              </w:rPr>
            </w:pP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719" w:type="dxa"/>
            <w:tcBorders>
              <w:top w:val="nil"/>
              <w:left w:val="nil"/>
              <w:bottom w:val="single" w:color="auto" w:sz="4" w:space="0"/>
              <w:right w:val="single" w:color="auto" w:sz="12" w:space="0"/>
            </w:tcBorders>
            <w:noWrap w:val="0"/>
            <w:vAlign w:val="top"/>
          </w:tcPr>
          <w:p>
            <w:pPr>
              <w:jc w:val="center"/>
              <w:rPr>
                <w:rFonts w:hint="eastAsia" w:ascii="仿宋" w:hAnsi="仿宋" w:eastAsia="仿宋" w:cs="仿宋_GB2312"/>
                <w:sz w:val="24"/>
                <w:szCs w:val="24"/>
              </w:rPr>
            </w:pPr>
            <w:r>
              <w:rPr>
                <w:rFonts w:hint="eastAsia" w:ascii="仿宋" w:hAnsi="仿宋" w:eastAsia="仿宋" w:cs="仿宋_GB2312"/>
                <w:kern w:val="2"/>
                <w:sz w:val="24"/>
                <w:szCs w:val="24"/>
                <w:lang w:eastAsia="zh-CN" w:bidi="ar"/>
              </w:rPr>
              <w:t>8</w:t>
            </w:r>
          </w:p>
          <w:p>
            <w:pPr>
              <w:jc w:val="center"/>
              <w:rPr>
                <w:rFonts w:hint="eastAsia" w:ascii="仿宋" w:hAnsi="仿宋" w:eastAsia="仿宋" w:cs="仿宋_GB2312"/>
                <w:sz w:val="24"/>
                <w:szCs w:val="24"/>
              </w:rPr>
            </w:pPr>
          </w:p>
        </w:tc>
        <w:tc>
          <w:tcPr>
            <w:tcW w:w="1516" w:type="dxa"/>
            <w:tcBorders>
              <w:top w:val="nil"/>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出版/文献/信息传播/知识产权事务费</w:t>
            </w:r>
          </w:p>
        </w:tc>
        <w:tc>
          <w:tcPr>
            <w:tcW w:w="4048" w:type="dxa"/>
            <w:tcBorders>
              <w:top w:val="nil"/>
              <w:left w:val="single" w:color="auto" w:sz="12" w:space="0"/>
              <w:bottom w:val="single" w:color="auto" w:sz="4" w:space="0"/>
              <w:right w:val="single" w:color="auto" w:sz="12" w:space="0"/>
            </w:tcBorders>
            <w:noWrap w:val="0"/>
            <w:vAlign w:val="top"/>
          </w:tcPr>
          <w:p>
            <w:pPr>
              <w:widowControl/>
              <w:jc w:val="left"/>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项目执行过程中支付的出版费、资料费、印刷费、数据采集费、专用软件购买费、文献检索费、邮电费、专利申请及其他知识产权事务等费用</w:t>
            </w:r>
          </w:p>
        </w:tc>
        <w:tc>
          <w:tcPr>
            <w:tcW w:w="2537" w:type="dxa"/>
            <w:tcBorders>
              <w:top w:val="nil"/>
              <w:left w:val="single" w:color="auto" w:sz="12" w:space="0"/>
              <w:bottom w:val="single" w:color="auto" w:sz="4" w:space="0"/>
              <w:right w:val="nil"/>
            </w:tcBorders>
            <w:noWrap w:val="0"/>
            <w:vAlign w:val="top"/>
          </w:tcPr>
          <w:p>
            <w:pPr>
              <w:widowControl/>
              <w:jc w:val="left"/>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资料费是指资料收集、录入、复印、翻拍、翻译、图书资料购置、查新等费用；</w:t>
            </w:r>
          </w:p>
          <w:p>
            <w:pPr>
              <w:widowControl/>
              <w:jc w:val="left"/>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数据采集费是指问卷调查、数据跟踪采集、案例分析等费用</w:t>
            </w: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719" w:type="dxa"/>
            <w:vMerge w:val="restart"/>
            <w:tcBorders>
              <w:top w:val="single" w:color="auto" w:sz="4" w:space="0"/>
              <w:left w:val="nil"/>
              <w:bottom w:val="single" w:color="000000" w:sz="12" w:space="0"/>
              <w:right w:val="single" w:color="auto" w:sz="12" w:space="0"/>
            </w:tcBorders>
            <w:noWrap w:val="0"/>
            <w:vAlign w:val="top"/>
          </w:tcPr>
          <w:p>
            <w:pPr>
              <w:jc w:val="center"/>
              <w:rPr>
                <w:rFonts w:hint="eastAsia" w:ascii="仿宋" w:hAnsi="仿宋" w:eastAsia="仿宋" w:cs="仿宋_GB2312"/>
                <w:sz w:val="24"/>
                <w:szCs w:val="24"/>
              </w:rPr>
            </w:pPr>
            <w:r>
              <w:rPr>
                <w:rFonts w:hint="eastAsia" w:ascii="仿宋" w:hAnsi="仿宋" w:eastAsia="仿宋" w:cs="仿宋_GB2312"/>
                <w:kern w:val="2"/>
                <w:sz w:val="24"/>
                <w:szCs w:val="24"/>
                <w:lang w:eastAsia="zh-CN" w:bidi="ar"/>
              </w:rPr>
              <w:t>9</w:t>
            </w:r>
          </w:p>
          <w:p>
            <w:pPr>
              <w:jc w:val="center"/>
              <w:rPr>
                <w:rFonts w:hint="eastAsia" w:ascii="仿宋" w:hAnsi="仿宋" w:eastAsia="仿宋" w:cs="仿宋_GB2312"/>
                <w:sz w:val="24"/>
                <w:szCs w:val="24"/>
              </w:rPr>
            </w:pPr>
          </w:p>
        </w:tc>
        <w:tc>
          <w:tcPr>
            <w:tcW w:w="1516" w:type="dxa"/>
            <w:vMerge w:val="restart"/>
            <w:tcBorders>
              <w:top w:val="single" w:color="auto" w:sz="4" w:space="0"/>
              <w:left w:val="single" w:color="auto" w:sz="12" w:space="0"/>
              <w:bottom w:val="single" w:color="000000" w:sz="12"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劳务费</w:t>
            </w:r>
          </w:p>
        </w:tc>
        <w:tc>
          <w:tcPr>
            <w:tcW w:w="4048" w:type="dxa"/>
            <w:tcBorders>
              <w:top w:val="single" w:color="auto" w:sz="4" w:space="0"/>
              <w:left w:val="single" w:color="auto" w:sz="12" w:space="0"/>
              <w:bottom w:val="single" w:color="auto" w:sz="4" w:space="0"/>
              <w:right w:val="single" w:color="auto" w:sz="12" w:space="0"/>
            </w:tcBorders>
            <w:noWrap w:val="0"/>
            <w:vAlign w:val="top"/>
          </w:tcPr>
          <w:p>
            <w:pPr>
              <w:widowControl/>
              <w:jc w:val="left"/>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1.劳务费：是指支付给直接参加项目的没有工资性收入的在校研究生助研津贴和课题组临时聘用人员的劳务性费用及临聘人员社会保险费用</w:t>
            </w:r>
          </w:p>
        </w:tc>
        <w:tc>
          <w:tcPr>
            <w:tcW w:w="2537" w:type="dxa"/>
            <w:tcBorders>
              <w:top w:val="single" w:color="auto" w:sz="4" w:space="0"/>
              <w:left w:val="single" w:color="auto" w:sz="12" w:space="0"/>
              <w:bottom w:val="single" w:color="auto" w:sz="4" w:space="0"/>
              <w:right w:val="nil"/>
            </w:tcBorders>
            <w:noWrap w:val="0"/>
            <w:vAlign w:val="top"/>
          </w:tcPr>
          <w:p>
            <w:pPr>
              <w:widowControl/>
              <w:jc w:val="left"/>
              <w:rPr>
                <w:rFonts w:hint="eastAsia" w:ascii="仿宋" w:hAnsi="仿宋" w:eastAsia="仿宋" w:cs="仿宋_GB2312"/>
                <w:kern w:val="0"/>
                <w:sz w:val="24"/>
                <w:szCs w:val="24"/>
              </w:rPr>
            </w:pP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51" w:hRule="atLeast"/>
        </w:trPr>
        <w:tc>
          <w:tcPr>
            <w:tcW w:w="719" w:type="dxa"/>
            <w:vMerge w:val="continue"/>
            <w:tcBorders>
              <w:top w:val="single" w:color="auto" w:sz="4" w:space="0"/>
              <w:left w:val="nil"/>
              <w:bottom w:val="single" w:color="000000" w:sz="12" w:space="0"/>
              <w:right w:val="single" w:color="auto" w:sz="12" w:space="0"/>
            </w:tcBorders>
            <w:noWrap w:val="0"/>
            <w:vAlign w:val="top"/>
          </w:tcPr>
          <w:p>
            <w:pPr>
              <w:rPr>
                <w:rFonts w:hint="eastAsia" w:ascii="仿宋" w:hAnsi="仿宋" w:eastAsia="仿宋" w:cs="仿宋_GB2312"/>
                <w:sz w:val="24"/>
                <w:szCs w:val="24"/>
              </w:rPr>
            </w:pPr>
          </w:p>
        </w:tc>
        <w:tc>
          <w:tcPr>
            <w:tcW w:w="1516" w:type="dxa"/>
            <w:vMerge w:val="continue"/>
            <w:tcBorders>
              <w:top w:val="single" w:color="auto" w:sz="4" w:space="0"/>
              <w:left w:val="single" w:color="auto" w:sz="12" w:space="0"/>
              <w:bottom w:val="single" w:color="000000" w:sz="12" w:space="0"/>
              <w:right w:val="single" w:color="auto" w:sz="12" w:space="0"/>
            </w:tcBorders>
            <w:noWrap w:val="0"/>
            <w:vAlign w:val="top"/>
          </w:tcPr>
          <w:p>
            <w:pPr>
              <w:rPr>
                <w:rFonts w:hint="eastAsia" w:ascii="仿宋" w:hAnsi="仿宋" w:eastAsia="仿宋" w:cs="仿宋_GB2312"/>
                <w:sz w:val="24"/>
                <w:szCs w:val="24"/>
              </w:rPr>
            </w:pPr>
          </w:p>
        </w:tc>
        <w:tc>
          <w:tcPr>
            <w:tcW w:w="4048" w:type="dxa"/>
            <w:tcBorders>
              <w:top w:val="single" w:color="auto" w:sz="4" w:space="0"/>
              <w:left w:val="single" w:color="auto" w:sz="12" w:space="0"/>
              <w:right w:val="single" w:color="auto" w:sz="12" w:space="0"/>
            </w:tcBorders>
            <w:noWrap w:val="0"/>
            <w:vAlign w:val="top"/>
          </w:tcPr>
          <w:p>
            <w:pPr>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2.专家咨询费：指支付给临时聘请专家的咨询费/鉴定费/评审费等</w:t>
            </w:r>
          </w:p>
        </w:tc>
        <w:tc>
          <w:tcPr>
            <w:tcW w:w="2537" w:type="dxa"/>
            <w:tcBorders>
              <w:top w:val="single" w:color="auto" w:sz="4" w:space="0"/>
              <w:left w:val="single" w:color="auto" w:sz="12" w:space="0"/>
              <w:right w:val="nil"/>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不得支付给项目成员</w:t>
            </w: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719" w:type="dxa"/>
            <w:vMerge w:val="restart"/>
            <w:tcBorders>
              <w:top w:val="single" w:color="auto" w:sz="12" w:space="0"/>
              <w:left w:val="nil"/>
              <w:right w:val="single" w:color="auto" w:sz="12" w:space="0"/>
            </w:tcBorders>
            <w:noWrap w:val="0"/>
            <w:vAlign w:val="top"/>
          </w:tcPr>
          <w:p>
            <w:pPr>
              <w:jc w:val="center"/>
              <w:rPr>
                <w:rFonts w:hint="eastAsia" w:ascii="仿宋" w:hAnsi="仿宋" w:eastAsia="仿宋" w:cs="仿宋_GB2312"/>
                <w:sz w:val="24"/>
                <w:szCs w:val="24"/>
              </w:rPr>
            </w:pPr>
            <w:r>
              <w:rPr>
                <w:rFonts w:hint="eastAsia" w:ascii="仿宋" w:hAnsi="仿宋" w:eastAsia="仿宋" w:cs="仿宋_GB2312"/>
                <w:kern w:val="2"/>
                <w:sz w:val="24"/>
                <w:szCs w:val="24"/>
                <w:lang w:eastAsia="zh-CN" w:bidi="ar"/>
              </w:rPr>
              <w:t>10</w:t>
            </w:r>
          </w:p>
        </w:tc>
        <w:tc>
          <w:tcPr>
            <w:tcW w:w="1516" w:type="dxa"/>
            <w:vMerge w:val="restart"/>
            <w:tcBorders>
              <w:top w:val="single" w:color="auto" w:sz="12" w:space="0"/>
              <w:left w:val="single" w:color="auto" w:sz="12"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其他业务费</w:t>
            </w:r>
          </w:p>
        </w:tc>
        <w:tc>
          <w:tcPr>
            <w:tcW w:w="4048" w:type="dxa"/>
            <w:tcBorders>
              <w:top w:val="single" w:color="auto" w:sz="12" w:space="0"/>
              <w:left w:val="single" w:color="auto" w:sz="12" w:space="0"/>
              <w:bottom w:val="single" w:color="auto" w:sz="4"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1.实验室改造维修费，指对实验室进行的非功能性维修改造所发生的费用</w:t>
            </w:r>
          </w:p>
        </w:tc>
        <w:tc>
          <w:tcPr>
            <w:tcW w:w="2537" w:type="dxa"/>
            <w:tcBorders>
              <w:top w:val="single" w:color="auto" w:sz="12" w:space="0"/>
              <w:left w:val="single" w:color="auto" w:sz="12" w:space="0"/>
              <w:bottom w:val="single" w:color="auto" w:sz="4" w:space="0"/>
              <w:right w:val="nil"/>
            </w:tcBorders>
            <w:noWrap w:val="0"/>
            <w:vAlign w:val="top"/>
          </w:tcPr>
          <w:p>
            <w:pPr>
              <w:rPr>
                <w:rFonts w:hint="eastAsia" w:ascii="仿宋" w:hAnsi="仿宋" w:eastAsia="仿宋" w:cs="仿宋_GB2312"/>
                <w:sz w:val="24"/>
                <w:szCs w:val="24"/>
              </w:rPr>
            </w:pP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719" w:type="dxa"/>
            <w:vMerge w:val="continue"/>
            <w:tcBorders>
              <w:left w:val="nil"/>
              <w:right w:val="single" w:color="auto" w:sz="12" w:space="0"/>
            </w:tcBorders>
            <w:noWrap w:val="0"/>
            <w:vAlign w:val="top"/>
          </w:tcPr>
          <w:p>
            <w:pPr>
              <w:rPr>
                <w:rFonts w:hint="eastAsia" w:ascii="仿宋" w:hAnsi="仿宋" w:eastAsia="仿宋" w:cs="仿宋_GB2312"/>
                <w:sz w:val="24"/>
                <w:szCs w:val="24"/>
              </w:rPr>
            </w:pPr>
          </w:p>
        </w:tc>
        <w:tc>
          <w:tcPr>
            <w:tcW w:w="1516" w:type="dxa"/>
            <w:vMerge w:val="continue"/>
            <w:tcBorders>
              <w:left w:val="single" w:color="auto" w:sz="12" w:space="0"/>
              <w:right w:val="single" w:color="auto" w:sz="12" w:space="0"/>
            </w:tcBorders>
            <w:noWrap w:val="0"/>
            <w:vAlign w:val="top"/>
          </w:tcPr>
          <w:p>
            <w:pPr>
              <w:rPr>
                <w:rFonts w:hint="eastAsia" w:ascii="仿宋" w:hAnsi="仿宋" w:eastAsia="仿宋" w:cs="仿宋_GB2312"/>
                <w:sz w:val="24"/>
                <w:szCs w:val="24"/>
              </w:rPr>
            </w:pPr>
          </w:p>
        </w:tc>
        <w:tc>
          <w:tcPr>
            <w:tcW w:w="4048" w:type="dxa"/>
            <w:tcBorders>
              <w:top w:val="single" w:color="auto" w:sz="4" w:space="0"/>
              <w:left w:val="single" w:color="auto" w:sz="12" w:space="0"/>
              <w:bottom w:val="single" w:color="auto" w:sz="4" w:space="0"/>
              <w:right w:val="single" w:color="auto" w:sz="12" w:space="0"/>
            </w:tcBorders>
            <w:noWrap w:val="0"/>
            <w:vAlign w:val="top"/>
          </w:tcPr>
          <w:p>
            <w:pPr>
              <w:widowControl/>
              <w:jc w:val="left"/>
              <w:rPr>
                <w:rFonts w:hint="eastAsia" w:ascii="仿宋" w:hAnsi="仿宋" w:eastAsia="仿宋" w:cs="仿宋_GB2312"/>
                <w:kern w:val="0"/>
                <w:sz w:val="24"/>
                <w:szCs w:val="24"/>
              </w:rPr>
            </w:pPr>
            <w:r>
              <w:rPr>
                <w:rFonts w:hint="eastAsia" w:ascii="仿宋" w:hAnsi="仿宋" w:eastAsia="仿宋" w:cs="仿宋_GB2312"/>
                <w:kern w:val="0"/>
                <w:sz w:val="24"/>
                <w:szCs w:val="24"/>
                <w:lang w:eastAsia="zh-CN" w:bidi="ar"/>
              </w:rPr>
              <w:t>2.车辆费，指项目实施过程中的专用车辆费用，包括：燃油费、过路资金桥)费、停车费、租车费等</w:t>
            </w:r>
          </w:p>
        </w:tc>
        <w:tc>
          <w:tcPr>
            <w:tcW w:w="2537" w:type="dxa"/>
            <w:tcBorders>
              <w:top w:val="single" w:color="auto" w:sz="4" w:space="0"/>
              <w:left w:val="single" w:color="auto" w:sz="12" w:space="0"/>
              <w:bottom w:val="single" w:color="auto" w:sz="4" w:space="0"/>
              <w:right w:val="nil"/>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非公车维修费、保险费、年检费用等不得报销</w:t>
            </w: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653" w:hRule="atLeast"/>
        </w:trPr>
        <w:tc>
          <w:tcPr>
            <w:tcW w:w="719" w:type="dxa"/>
            <w:vMerge w:val="continue"/>
            <w:tcBorders>
              <w:left w:val="nil"/>
              <w:right w:val="single" w:color="auto" w:sz="12" w:space="0"/>
            </w:tcBorders>
            <w:noWrap w:val="0"/>
            <w:vAlign w:val="top"/>
          </w:tcPr>
          <w:p>
            <w:pPr>
              <w:rPr>
                <w:rFonts w:hint="eastAsia" w:ascii="仿宋" w:hAnsi="仿宋" w:eastAsia="仿宋" w:cs="仿宋_GB2312"/>
                <w:sz w:val="24"/>
                <w:szCs w:val="24"/>
              </w:rPr>
            </w:pPr>
          </w:p>
        </w:tc>
        <w:tc>
          <w:tcPr>
            <w:tcW w:w="1516" w:type="dxa"/>
            <w:vMerge w:val="continue"/>
            <w:tcBorders>
              <w:left w:val="single" w:color="auto" w:sz="12" w:space="0"/>
              <w:right w:val="single" w:color="auto" w:sz="12" w:space="0"/>
            </w:tcBorders>
            <w:noWrap w:val="0"/>
            <w:vAlign w:val="top"/>
          </w:tcPr>
          <w:p>
            <w:pPr>
              <w:rPr>
                <w:rFonts w:hint="eastAsia" w:ascii="仿宋" w:hAnsi="仿宋" w:eastAsia="仿宋" w:cs="仿宋_GB2312"/>
                <w:sz w:val="24"/>
                <w:szCs w:val="24"/>
              </w:rPr>
            </w:pPr>
          </w:p>
        </w:tc>
        <w:tc>
          <w:tcPr>
            <w:tcW w:w="4048" w:type="dxa"/>
            <w:tcBorders>
              <w:top w:val="single" w:color="auto" w:sz="4" w:space="0"/>
              <w:left w:val="single" w:color="auto" w:sz="12" w:space="0"/>
              <w:right w:val="single" w:color="auto" w:sz="12" w:space="0"/>
            </w:tcBorders>
            <w:noWrap w:val="0"/>
            <w:vAlign w:val="top"/>
          </w:tcPr>
          <w:p>
            <w:pPr>
              <w:jc w:val="left"/>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4.培训和学习费用，项目参加人员的学习和培训的开支</w:t>
            </w:r>
          </w:p>
        </w:tc>
        <w:tc>
          <w:tcPr>
            <w:tcW w:w="2537" w:type="dxa"/>
            <w:tcBorders>
              <w:top w:val="single" w:color="auto" w:sz="4" w:space="0"/>
              <w:left w:val="single" w:color="auto" w:sz="12" w:space="0"/>
              <w:right w:val="nil"/>
            </w:tcBorders>
            <w:noWrap w:val="0"/>
            <w:vAlign w:val="top"/>
          </w:tcPr>
          <w:p>
            <w:pPr>
              <w:widowControl/>
              <w:jc w:val="left"/>
              <w:rPr>
                <w:rFonts w:hint="eastAsia" w:ascii="仿宋" w:hAnsi="仿宋" w:eastAsia="仿宋" w:cs="仿宋_GB2312"/>
                <w:kern w:val="0"/>
                <w:sz w:val="24"/>
                <w:szCs w:val="24"/>
              </w:rPr>
            </w:pP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951" w:hRule="atLeast"/>
        </w:trPr>
        <w:tc>
          <w:tcPr>
            <w:tcW w:w="719" w:type="dxa"/>
            <w:vMerge w:val="continue"/>
            <w:tcBorders>
              <w:left w:val="nil"/>
              <w:right w:val="single" w:color="auto" w:sz="12" w:space="0"/>
            </w:tcBorders>
            <w:noWrap w:val="0"/>
            <w:vAlign w:val="top"/>
          </w:tcPr>
          <w:p>
            <w:pPr>
              <w:rPr>
                <w:rFonts w:hint="eastAsia" w:ascii="仿宋" w:hAnsi="仿宋" w:eastAsia="仿宋" w:cs="仿宋_GB2312"/>
                <w:sz w:val="24"/>
                <w:szCs w:val="24"/>
              </w:rPr>
            </w:pPr>
          </w:p>
        </w:tc>
        <w:tc>
          <w:tcPr>
            <w:tcW w:w="1516" w:type="dxa"/>
            <w:vMerge w:val="continue"/>
            <w:tcBorders>
              <w:left w:val="single" w:color="auto" w:sz="12" w:space="0"/>
              <w:right w:val="single" w:color="auto" w:sz="12" w:space="0"/>
            </w:tcBorders>
            <w:noWrap w:val="0"/>
            <w:vAlign w:val="top"/>
          </w:tcPr>
          <w:p>
            <w:pPr>
              <w:rPr>
                <w:rFonts w:hint="eastAsia" w:ascii="仿宋" w:hAnsi="仿宋" w:eastAsia="仿宋" w:cs="仿宋_GB2312"/>
                <w:sz w:val="24"/>
                <w:szCs w:val="24"/>
              </w:rPr>
            </w:pPr>
          </w:p>
        </w:tc>
        <w:tc>
          <w:tcPr>
            <w:tcW w:w="4048" w:type="dxa"/>
            <w:tcBorders>
              <w:top w:val="single" w:color="auto" w:sz="4" w:space="0"/>
              <w:left w:val="single" w:color="auto" w:sz="12"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5.其他,不能明确分类的直接支出</w:t>
            </w:r>
          </w:p>
        </w:tc>
        <w:tc>
          <w:tcPr>
            <w:tcW w:w="2537" w:type="dxa"/>
            <w:tcBorders>
              <w:top w:val="single" w:color="auto" w:sz="4" w:space="0"/>
              <w:left w:val="single" w:color="auto" w:sz="12" w:space="0"/>
              <w:right w:val="nil"/>
            </w:tcBorders>
            <w:noWrap w:val="0"/>
            <w:vAlign w:val="top"/>
          </w:tcPr>
          <w:p>
            <w:pPr>
              <w:rPr>
                <w:rFonts w:ascii="仿宋" w:hAnsi="仿宋" w:eastAsia="仿宋" w:cs="仿宋_GB2312"/>
                <w:kern w:val="0"/>
                <w:sz w:val="24"/>
                <w:szCs w:val="24"/>
                <w:lang w:eastAsia="zh-CN" w:bidi="ar"/>
              </w:rPr>
            </w:pPr>
            <w:r>
              <w:rPr>
                <w:rFonts w:hint="eastAsia" w:ascii="仿宋" w:hAnsi="仿宋" w:eastAsia="仿宋" w:cs="仿宋_GB2312"/>
                <w:kern w:val="0"/>
                <w:sz w:val="24"/>
                <w:szCs w:val="24"/>
                <w:lang w:eastAsia="zh-CN" w:bidi="ar"/>
              </w:rPr>
              <w:t>旅游、劳保福利、娱乐、家庭消费和个人生活性支出及与项目活动无关的支出不得</w:t>
            </w:r>
          </w:p>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从项目资金支出</w:t>
            </w:r>
          </w:p>
        </w:tc>
      </w:tr>
      <w:tr>
        <w:tblPrEx>
          <w:tblBorders>
            <w:top w:val="single" w:color="000000" w:sz="12" w:space="0"/>
            <w:left w:val="none" w:color="auto" w:sz="6" w:space="0"/>
            <w:bottom w:val="single" w:color="000000" w:sz="12"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719" w:type="dxa"/>
            <w:tcBorders>
              <w:top w:val="single" w:color="auto" w:sz="4" w:space="0"/>
              <w:left w:val="nil"/>
              <w:bottom w:val="single" w:color="000000" w:sz="12" w:space="0"/>
              <w:right w:val="single" w:color="auto" w:sz="12" w:space="0"/>
            </w:tcBorders>
            <w:noWrap w:val="0"/>
            <w:vAlign w:val="top"/>
          </w:tcPr>
          <w:p>
            <w:pPr>
              <w:jc w:val="center"/>
              <w:rPr>
                <w:rFonts w:hint="eastAsia" w:ascii="仿宋" w:hAnsi="仿宋" w:eastAsia="仿宋" w:cs="仿宋_GB2312"/>
                <w:sz w:val="24"/>
                <w:szCs w:val="24"/>
              </w:rPr>
            </w:pPr>
          </w:p>
        </w:tc>
        <w:tc>
          <w:tcPr>
            <w:tcW w:w="1516" w:type="dxa"/>
            <w:tcBorders>
              <w:top w:val="single" w:color="auto" w:sz="4" w:space="0"/>
              <w:left w:val="single" w:color="auto" w:sz="12" w:space="0"/>
              <w:bottom w:val="single" w:color="000000" w:sz="12" w:space="0"/>
              <w:right w:val="single" w:color="auto" w:sz="12" w:space="0"/>
            </w:tcBorders>
            <w:noWrap w:val="0"/>
            <w:vAlign w:val="top"/>
          </w:tcPr>
          <w:p>
            <w:pPr>
              <w:rPr>
                <w:rFonts w:hint="eastAsia" w:ascii="仿宋" w:hAnsi="仿宋" w:eastAsia="仿宋" w:cs="仿宋_GB2312"/>
                <w:b/>
                <w:sz w:val="24"/>
                <w:szCs w:val="24"/>
              </w:rPr>
            </w:pPr>
            <w:r>
              <w:rPr>
                <w:rFonts w:hint="eastAsia" w:ascii="仿宋" w:hAnsi="仿宋" w:eastAsia="仿宋" w:cs="仿宋_GB2312"/>
                <w:b/>
                <w:kern w:val="0"/>
                <w:sz w:val="24"/>
                <w:szCs w:val="24"/>
                <w:lang w:eastAsia="zh-CN" w:bidi="ar"/>
              </w:rPr>
              <w:t>间接费用</w:t>
            </w:r>
          </w:p>
        </w:tc>
        <w:tc>
          <w:tcPr>
            <w:tcW w:w="4048" w:type="dxa"/>
            <w:tcBorders>
              <w:top w:val="single" w:color="auto" w:sz="4" w:space="0"/>
              <w:left w:val="single" w:color="auto" w:sz="12" w:space="0"/>
              <w:bottom w:val="single" w:color="auto" w:sz="12" w:space="0"/>
              <w:right w:val="single" w:color="auto" w:sz="12" w:space="0"/>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按国家相关办法的规定比例提取。</w:t>
            </w:r>
            <w:r>
              <w:rPr>
                <w:rFonts w:hint="eastAsia" w:ascii="仿宋" w:hAnsi="仿宋" w:eastAsia="仿宋" w:cs="仿宋_GB2312"/>
                <w:kern w:val="2"/>
                <w:sz w:val="24"/>
                <w:szCs w:val="24"/>
                <w:lang w:eastAsia="zh-CN" w:bidi="ar"/>
              </w:rPr>
              <w:t xml:space="preserve"> </w:t>
            </w:r>
          </w:p>
        </w:tc>
        <w:tc>
          <w:tcPr>
            <w:tcW w:w="2537" w:type="dxa"/>
            <w:tcBorders>
              <w:top w:val="single" w:color="auto" w:sz="4" w:space="0"/>
              <w:left w:val="single" w:color="auto" w:sz="12" w:space="0"/>
              <w:bottom w:val="single" w:color="auto" w:sz="12" w:space="0"/>
              <w:right w:val="nil"/>
            </w:tcBorders>
            <w:noWrap w:val="0"/>
            <w:vAlign w:val="top"/>
          </w:tcPr>
          <w:p>
            <w:pPr>
              <w:rPr>
                <w:rFonts w:hint="eastAsia" w:ascii="仿宋" w:hAnsi="仿宋" w:eastAsia="仿宋" w:cs="仿宋_GB2312"/>
                <w:sz w:val="24"/>
                <w:szCs w:val="24"/>
              </w:rPr>
            </w:pPr>
            <w:r>
              <w:rPr>
                <w:rFonts w:hint="eastAsia" w:ascii="仿宋" w:hAnsi="仿宋" w:eastAsia="仿宋" w:cs="仿宋_GB2312"/>
                <w:kern w:val="0"/>
                <w:sz w:val="24"/>
                <w:szCs w:val="24"/>
                <w:lang w:eastAsia="zh-CN" w:bidi="ar"/>
              </w:rPr>
              <w:t>提取比例见附件1，动态调整</w:t>
            </w:r>
          </w:p>
        </w:tc>
      </w:tr>
    </w:tbl>
    <w:p>
      <w:pPr>
        <w:rPr>
          <w:rFonts w:hint="eastAsia" w:ascii="仿宋" w:hAnsi="仿宋" w:eastAsia="仿宋" w:cs="仿宋_GB2312"/>
        </w:rPr>
      </w:pPr>
      <w:r>
        <w:rPr>
          <w:rFonts w:hint="eastAsia" w:ascii="仿宋" w:hAnsi="仿宋" w:eastAsia="仿宋" w:cs="仿宋_GB2312"/>
        </w:rPr>
        <w:t xml:space="preserve">                                                                                                                                                                                                                                                                                                                                                                                                                                                                                                                                                                                                                                                                                                                                                                                                                                                                                                                                                                                                                                                                                                                                                                                                                                                                                                                                                                                                                                                                                  </w:t>
      </w:r>
    </w:p>
    <w:p>
      <w:bookmarkStart w:id="0" w:name="_GoBack"/>
      <w:bookmarkEnd w:id="0"/>
    </w:p>
    <w:sectPr>
      <w:pgSz w:w="11906" w:h="16838"/>
      <w:pgMar w:top="1383" w:right="1576" w:bottom="1383" w:left="1633" w:header="708"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ongti SC Regular">
    <w:altName w:val="宋体"/>
    <w:panose1 w:val="02010600040101010101"/>
    <w:charset w:val="86"/>
    <w:family w:val="auto"/>
    <w:pitch w:val="default"/>
    <w:sig w:usb0="00000000" w:usb1="00000000" w:usb2="00000010" w:usb3="00000000" w:csb0="000400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04C000" w:usb3="00000000" w:csb0="00000001" w:csb1="4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3844FFD"/>
    <w:rsid w:val="60F3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100" w:lineRule="atLeast"/>
      <w:jc w:val="both"/>
    </w:pPr>
    <w:rPr>
      <w:rFonts w:ascii="Times New Roman" w:hAnsi="Times New Roman" w:eastAsia="宋体" w:cs="Times New Roman"/>
      <w:kern w:val="1"/>
      <w:sz w:val="21"/>
      <w:lang w:val="en-US" w:eastAsia="ar-SA"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tLeast"/>
      <w:jc w:val="left"/>
    </w:pPr>
    <w:rPr>
      <w:sz w:val="18"/>
      <w:szCs w:val="18"/>
    </w:rPr>
  </w:style>
  <w:style w:type="paragraph" w:customStyle="1" w:styleId="5">
    <w:name w:val="样式3"/>
    <w:basedOn w:val="1"/>
    <w:uiPriority w:val="0"/>
    <w:rPr>
      <w:rFonts w:ascii="Songti SC Regular" w:hAnsi="Songti SC Regular" w:eastAsia="宋体" w:cs="Songti SC Regular"/>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Spacer1420341335</dc:creator>
  <cp:lastModifiedBy>aite-office2</cp:lastModifiedBy>
  <dcterms:modified xsi:type="dcterms:W3CDTF">2020-05-11T06:44:39Z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