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C3" w:rsidRDefault="000A1BC3" w:rsidP="000A1BC3">
      <w:pPr>
        <w:adjustRightInd w:val="0"/>
        <w:spacing w:line="560" w:lineRule="exact"/>
        <w:rPr>
          <w:rFonts w:ascii="仿宋" w:eastAsia="仿宋" w:hAnsi="仿宋"/>
          <w:sz w:val="32"/>
          <w:szCs w:val="32"/>
        </w:rPr>
      </w:pPr>
      <w:r>
        <w:rPr>
          <w:rFonts w:ascii="仿宋" w:eastAsia="仿宋" w:hAnsi="仿宋" w:hint="eastAsia"/>
          <w:sz w:val="32"/>
          <w:szCs w:val="32"/>
        </w:rPr>
        <w:t>附件</w:t>
      </w:r>
    </w:p>
    <w:p w:rsidR="000A1BC3" w:rsidRDefault="000A1BC3" w:rsidP="000A1BC3">
      <w:pPr>
        <w:adjustRightInd w:val="0"/>
        <w:snapToGrid w:val="0"/>
        <w:jc w:val="center"/>
        <w:rPr>
          <w:rFonts w:ascii="黑体" w:eastAsia="黑体" w:hAnsi="黑体"/>
          <w:sz w:val="36"/>
          <w:szCs w:val="36"/>
        </w:rPr>
      </w:pPr>
      <w:r>
        <w:rPr>
          <w:rFonts w:ascii="黑体" w:eastAsia="黑体" w:hAnsi="黑体" w:hint="eastAsia"/>
          <w:sz w:val="36"/>
          <w:szCs w:val="36"/>
        </w:rPr>
        <w:t>课程</w:t>
      </w:r>
      <w:proofErr w:type="gramStart"/>
      <w:r>
        <w:rPr>
          <w:rFonts w:ascii="黑体" w:eastAsia="黑体" w:hAnsi="黑体" w:hint="eastAsia"/>
          <w:sz w:val="36"/>
          <w:szCs w:val="36"/>
        </w:rPr>
        <w:t>思政教学</w:t>
      </w:r>
      <w:proofErr w:type="gramEnd"/>
      <w:r>
        <w:rPr>
          <w:rFonts w:ascii="黑体" w:eastAsia="黑体" w:hAnsi="黑体" w:hint="eastAsia"/>
          <w:sz w:val="36"/>
          <w:szCs w:val="36"/>
        </w:rPr>
        <w:t>体系及内容要求</w:t>
      </w:r>
    </w:p>
    <w:tbl>
      <w:tblPr>
        <w:tblW w:w="5000" w:type="pct"/>
        <w:tblLook w:val="0000" w:firstRow="0" w:lastRow="0" w:firstColumn="0" w:lastColumn="0" w:noHBand="0" w:noVBand="0"/>
      </w:tblPr>
      <w:tblGrid>
        <w:gridCol w:w="693"/>
        <w:gridCol w:w="714"/>
        <w:gridCol w:w="1894"/>
        <w:gridCol w:w="10917"/>
      </w:tblGrid>
      <w:tr w:rsidR="000A1BC3" w:rsidTr="0069678E">
        <w:trPr>
          <w:trHeight w:val="652"/>
          <w:tblHeader/>
        </w:trPr>
        <w:tc>
          <w:tcPr>
            <w:tcW w:w="244" w:type="pct"/>
            <w:tcBorders>
              <w:top w:val="single" w:sz="4" w:space="0" w:color="auto"/>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黑体" w:eastAsia="黑体" w:hAnsi="黑体" w:cs="宋体"/>
                <w:bCs/>
                <w:kern w:val="0"/>
                <w:szCs w:val="21"/>
              </w:rPr>
            </w:pPr>
            <w:r>
              <w:rPr>
                <w:rFonts w:ascii="黑体" w:eastAsia="黑体" w:hAnsi="黑体" w:cs="宋体" w:hint="eastAsia"/>
                <w:bCs/>
                <w:kern w:val="0"/>
                <w:szCs w:val="21"/>
              </w:rPr>
              <w:t>课程体系</w:t>
            </w:r>
          </w:p>
        </w:tc>
        <w:tc>
          <w:tcPr>
            <w:tcW w:w="251" w:type="pct"/>
            <w:tcBorders>
              <w:top w:val="single" w:sz="4" w:space="0" w:color="auto"/>
              <w:left w:val="nil"/>
              <w:bottom w:val="single" w:sz="4" w:space="0" w:color="auto"/>
              <w:right w:val="single" w:sz="4" w:space="0" w:color="auto"/>
            </w:tcBorders>
            <w:vAlign w:val="center"/>
          </w:tcPr>
          <w:p w:rsidR="000A1BC3" w:rsidRDefault="000A1BC3" w:rsidP="0069678E">
            <w:pPr>
              <w:widowControl/>
              <w:snapToGrid w:val="0"/>
              <w:jc w:val="center"/>
              <w:rPr>
                <w:rFonts w:ascii="黑体" w:eastAsia="黑体" w:hAnsi="黑体" w:cs="宋体"/>
                <w:bCs/>
                <w:kern w:val="0"/>
                <w:szCs w:val="21"/>
              </w:rPr>
            </w:pPr>
            <w:r>
              <w:rPr>
                <w:rFonts w:ascii="黑体" w:eastAsia="黑体" w:hAnsi="黑体" w:cs="宋体" w:hint="eastAsia"/>
                <w:bCs/>
                <w:kern w:val="0"/>
                <w:szCs w:val="21"/>
              </w:rPr>
              <w:t>课程属性</w:t>
            </w:r>
          </w:p>
        </w:tc>
        <w:tc>
          <w:tcPr>
            <w:tcW w:w="665" w:type="pct"/>
            <w:tcBorders>
              <w:top w:val="single" w:sz="4" w:space="0" w:color="auto"/>
              <w:left w:val="nil"/>
              <w:bottom w:val="single" w:sz="4" w:space="0" w:color="auto"/>
              <w:right w:val="single" w:sz="4" w:space="0" w:color="auto"/>
            </w:tcBorders>
            <w:vAlign w:val="center"/>
          </w:tcPr>
          <w:p w:rsidR="000A1BC3" w:rsidRDefault="000A1BC3" w:rsidP="0069678E">
            <w:pPr>
              <w:widowControl/>
              <w:snapToGrid w:val="0"/>
              <w:jc w:val="center"/>
              <w:rPr>
                <w:rFonts w:ascii="黑体" w:eastAsia="黑体" w:hAnsi="黑体" w:cs="宋体"/>
                <w:bCs/>
                <w:kern w:val="0"/>
                <w:szCs w:val="21"/>
              </w:rPr>
            </w:pPr>
            <w:r>
              <w:rPr>
                <w:rFonts w:ascii="黑体" w:eastAsia="黑体" w:hAnsi="黑体" w:cs="宋体" w:hint="eastAsia"/>
                <w:bCs/>
                <w:kern w:val="0"/>
                <w:szCs w:val="21"/>
              </w:rPr>
              <w:t>课程类别</w:t>
            </w:r>
          </w:p>
        </w:tc>
        <w:tc>
          <w:tcPr>
            <w:tcW w:w="3839" w:type="pct"/>
            <w:tcBorders>
              <w:top w:val="single" w:sz="4" w:space="0" w:color="auto"/>
              <w:left w:val="nil"/>
              <w:bottom w:val="single" w:sz="4" w:space="0" w:color="auto"/>
              <w:right w:val="single" w:sz="4" w:space="0" w:color="auto"/>
            </w:tcBorders>
            <w:vAlign w:val="center"/>
          </w:tcPr>
          <w:p w:rsidR="000A1BC3" w:rsidRDefault="000A1BC3" w:rsidP="0069678E">
            <w:pPr>
              <w:widowControl/>
              <w:snapToGrid w:val="0"/>
              <w:jc w:val="center"/>
              <w:rPr>
                <w:rFonts w:ascii="黑体" w:eastAsia="黑体" w:hAnsi="黑体" w:cs="宋体"/>
                <w:bCs/>
                <w:kern w:val="0"/>
                <w:szCs w:val="21"/>
              </w:rPr>
            </w:pPr>
            <w:proofErr w:type="gramStart"/>
            <w:r>
              <w:rPr>
                <w:rFonts w:ascii="黑体" w:eastAsia="黑体" w:hAnsi="黑体" w:cs="宋体" w:hint="eastAsia"/>
                <w:bCs/>
                <w:kern w:val="0"/>
                <w:szCs w:val="21"/>
              </w:rPr>
              <w:t>课程思政融入</w:t>
            </w:r>
            <w:proofErr w:type="gramEnd"/>
            <w:r>
              <w:rPr>
                <w:rFonts w:ascii="黑体" w:eastAsia="黑体" w:hAnsi="黑体" w:cs="宋体" w:hint="eastAsia"/>
                <w:bCs/>
                <w:kern w:val="0"/>
                <w:szCs w:val="21"/>
              </w:rPr>
              <w:t>内容要求</w:t>
            </w:r>
          </w:p>
        </w:tc>
      </w:tr>
      <w:tr w:rsidR="000A1BC3" w:rsidTr="0069678E">
        <w:trPr>
          <w:trHeight w:val="1538"/>
          <w:tblHeader/>
        </w:trPr>
        <w:tc>
          <w:tcPr>
            <w:tcW w:w="244" w:type="pct"/>
            <w:vMerge w:val="restart"/>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通识教育</w:t>
            </w:r>
          </w:p>
        </w:tc>
        <w:tc>
          <w:tcPr>
            <w:tcW w:w="251" w:type="pct"/>
            <w:vMerge w:val="restart"/>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公共必修课</w:t>
            </w:r>
          </w:p>
        </w:tc>
        <w:tc>
          <w:tcPr>
            <w:tcW w:w="665" w:type="pct"/>
            <w:tcBorders>
              <w:top w:val="single" w:sz="4" w:space="0" w:color="auto"/>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外语类课程</w:t>
            </w:r>
          </w:p>
        </w:tc>
        <w:tc>
          <w:tcPr>
            <w:tcW w:w="3839" w:type="pct"/>
            <w:vMerge w:val="restart"/>
            <w:tcBorders>
              <w:top w:val="single" w:sz="4" w:space="0" w:color="auto"/>
              <w:left w:val="nil"/>
              <w:bottom w:val="single" w:sz="4" w:space="0" w:color="auto"/>
              <w:right w:val="single" w:sz="4" w:space="0" w:color="auto"/>
            </w:tcBorders>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要在课程教学中帮助学生掌握马克思主义世界观和方法论，从历史与现实、理论与实践等维</w:t>
            </w:r>
            <w:proofErr w:type="gramStart"/>
            <w:r>
              <w:rPr>
                <w:rFonts w:ascii="仿宋" w:eastAsia="仿宋" w:hAnsi="仿宋" w:cs="宋体" w:hint="eastAsia"/>
                <w:kern w:val="0"/>
                <w:szCs w:val="21"/>
              </w:rPr>
              <w:t>度深刻</w:t>
            </w:r>
            <w:proofErr w:type="gramEnd"/>
            <w:r>
              <w:rPr>
                <w:rFonts w:ascii="仿宋" w:eastAsia="仿宋" w:hAnsi="仿宋" w:cs="宋体" w:hint="eastAsia"/>
                <w:kern w:val="0"/>
                <w:szCs w:val="21"/>
              </w:rPr>
              <w:t>理解习近平新时代中国特色社会主义思想。要结合专业知识教育引导学生深刻理解社会主义核心价值观，自觉弘扬中华优秀传统文化、革命文化、社会主义先进文化。</w:t>
            </w:r>
          </w:p>
        </w:tc>
      </w:tr>
      <w:tr w:rsidR="000A1BC3" w:rsidTr="0069678E">
        <w:trPr>
          <w:trHeight w:val="550"/>
          <w:tblHeader/>
        </w:trPr>
        <w:tc>
          <w:tcPr>
            <w:tcW w:w="244"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251"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665" w:type="pct"/>
            <w:tcBorders>
              <w:top w:val="single" w:sz="4" w:space="0" w:color="auto"/>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计算机类课程</w:t>
            </w:r>
          </w:p>
        </w:tc>
        <w:tc>
          <w:tcPr>
            <w:tcW w:w="3839" w:type="pct"/>
            <w:vMerge w:val="restart"/>
            <w:tcBorders>
              <w:top w:val="single" w:sz="4" w:space="0" w:color="auto"/>
              <w:left w:val="single" w:sz="4" w:space="0" w:color="auto"/>
              <w:bottom w:val="single" w:sz="4" w:space="0" w:color="auto"/>
              <w:right w:val="single" w:sz="4" w:space="0" w:color="auto"/>
            </w:tcBorders>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要在课程教学中把马克思主义立场观点方法的教育与科学精神的培养结合起来，提高学生正确认识问题、分析问题和解决问题的能力。理学类课程，要注重科学思维方法的训练和科学伦理的教育，培养学生探索未知、追求真理、勇攀科学高峰的责任感和使命感。</w:t>
            </w:r>
            <w:proofErr w:type="gramStart"/>
            <w:r>
              <w:rPr>
                <w:rFonts w:ascii="仿宋" w:eastAsia="仿宋" w:hAnsi="仿宋" w:cs="宋体" w:hint="eastAsia"/>
                <w:kern w:val="0"/>
                <w:szCs w:val="21"/>
              </w:rPr>
              <w:t>工学类课程</w:t>
            </w:r>
            <w:proofErr w:type="gramEnd"/>
            <w:r>
              <w:rPr>
                <w:rFonts w:ascii="仿宋" w:eastAsia="仿宋" w:hAnsi="仿宋" w:cs="宋体" w:hint="eastAsia"/>
                <w:kern w:val="0"/>
                <w:szCs w:val="21"/>
              </w:rPr>
              <w:t>，要注重强化学生工程伦理教育，培养学生精益求精的大国工匠精神，激发学生科技报国的家国情怀和使命担当。</w:t>
            </w:r>
          </w:p>
        </w:tc>
      </w:tr>
      <w:tr w:rsidR="000A1BC3" w:rsidTr="0069678E">
        <w:trPr>
          <w:trHeight w:val="558"/>
          <w:tblHeader/>
        </w:trPr>
        <w:tc>
          <w:tcPr>
            <w:tcW w:w="244"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251"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665" w:type="pct"/>
            <w:tcBorders>
              <w:top w:val="single" w:sz="4" w:space="0" w:color="auto"/>
              <w:left w:val="nil"/>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数学类课程</w:t>
            </w:r>
          </w:p>
        </w:tc>
        <w:tc>
          <w:tcPr>
            <w:tcW w:w="3839" w:type="pct"/>
            <w:vMerge/>
            <w:tcBorders>
              <w:top w:val="nil"/>
              <w:left w:val="nil"/>
              <w:bottom w:val="single" w:sz="4" w:space="0" w:color="auto"/>
              <w:right w:val="single" w:sz="4" w:space="0" w:color="auto"/>
            </w:tcBorders>
            <w:vAlign w:val="center"/>
          </w:tcPr>
          <w:p w:rsidR="000A1BC3" w:rsidRDefault="000A1BC3" w:rsidP="0069678E">
            <w:pPr>
              <w:widowControl/>
              <w:snapToGrid w:val="0"/>
              <w:jc w:val="left"/>
              <w:rPr>
                <w:rFonts w:ascii="仿宋" w:eastAsia="仿宋" w:hAnsi="仿宋" w:cs="宋体"/>
                <w:kern w:val="0"/>
                <w:szCs w:val="21"/>
              </w:rPr>
            </w:pPr>
          </w:p>
        </w:tc>
      </w:tr>
      <w:tr w:rsidR="000A1BC3" w:rsidTr="0069678E">
        <w:trPr>
          <w:trHeight w:val="552"/>
          <w:tblHeader/>
        </w:trPr>
        <w:tc>
          <w:tcPr>
            <w:tcW w:w="244"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251"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665" w:type="pct"/>
            <w:tcBorders>
              <w:top w:val="nil"/>
              <w:left w:val="nil"/>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物理类课程</w:t>
            </w:r>
          </w:p>
        </w:tc>
        <w:tc>
          <w:tcPr>
            <w:tcW w:w="3839" w:type="pct"/>
            <w:vMerge/>
            <w:tcBorders>
              <w:top w:val="nil"/>
              <w:left w:val="nil"/>
              <w:bottom w:val="single" w:sz="4" w:space="0" w:color="auto"/>
              <w:right w:val="single" w:sz="4" w:space="0" w:color="auto"/>
            </w:tcBorders>
            <w:vAlign w:val="center"/>
          </w:tcPr>
          <w:p w:rsidR="000A1BC3" w:rsidRDefault="000A1BC3" w:rsidP="0069678E">
            <w:pPr>
              <w:widowControl/>
              <w:snapToGrid w:val="0"/>
              <w:jc w:val="left"/>
              <w:rPr>
                <w:rFonts w:ascii="仿宋" w:eastAsia="仿宋" w:hAnsi="仿宋" w:cs="宋体"/>
                <w:kern w:val="0"/>
                <w:szCs w:val="21"/>
              </w:rPr>
            </w:pPr>
          </w:p>
        </w:tc>
      </w:tr>
      <w:tr w:rsidR="000A1BC3" w:rsidTr="0069678E">
        <w:trPr>
          <w:trHeight w:val="560"/>
          <w:tblHeader/>
        </w:trPr>
        <w:tc>
          <w:tcPr>
            <w:tcW w:w="244"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251"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665" w:type="pct"/>
            <w:tcBorders>
              <w:top w:val="nil"/>
              <w:left w:val="nil"/>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化学类课程</w:t>
            </w:r>
          </w:p>
        </w:tc>
        <w:tc>
          <w:tcPr>
            <w:tcW w:w="3839" w:type="pct"/>
            <w:vMerge/>
            <w:tcBorders>
              <w:top w:val="nil"/>
              <w:left w:val="nil"/>
              <w:bottom w:val="single" w:sz="4" w:space="0" w:color="auto"/>
              <w:right w:val="single" w:sz="4" w:space="0" w:color="auto"/>
            </w:tcBorders>
            <w:vAlign w:val="center"/>
          </w:tcPr>
          <w:p w:rsidR="000A1BC3" w:rsidRDefault="000A1BC3" w:rsidP="0069678E">
            <w:pPr>
              <w:widowControl/>
              <w:snapToGrid w:val="0"/>
              <w:jc w:val="left"/>
              <w:rPr>
                <w:rFonts w:ascii="仿宋" w:eastAsia="仿宋" w:hAnsi="仿宋" w:cs="宋体"/>
                <w:kern w:val="0"/>
                <w:szCs w:val="21"/>
              </w:rPr>
            </w:pPr>
          </w:p>
        </w:tc>
      </w:tr>
      <w:tr w:rsidR="000A1BC3" w:rsidTr="0069678E">
        <w:trPr>
          <w:trHeight w:val="696"/>
          <w:tblHeader/>
        </w:trPr>
        <w:tc>
          <w:tcPr>
            <w:tcW w:w="244"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251"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665" w:type="pct"/>
            <w:tcBorders>
              <w:top w:val="nil"/>
              <w:left w:val="nil"/>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体育类课程</w:t>
            </w:r>
          </w:p>
        </w:tc>
        <w:tc>
          <w:tcPr>
            <w:tcW w:w="3839" w:type="pct"/>
            <w:tcBorders>
              <w:top w:val="single" w:sz="4" w:space="0" w:color="auto"/>
              <w:left w:val="nil"/>
              <w:bottom w:val="single" w:sz="4" w:space="0" w:color="auto"/>
              <w:right w:val="single" w:sz="4" w:space="0" w:color="auto"/>
            </w:tcBorders>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帮助学生在体育锻炼中享受乐趣、增强体质、健全人格、锤炼意志。</w:t>
            </w:r>
          </w:p>
        </w:tc>
      </w:tr>
      <w:tr w:rsidR="000A1BC3" w:rsidTr="0069678E">
        <w:trPr>
          <w:trHeight w:val="847"/>
          <w:tblHeader/>
        </w:trPr>
        <w:tc>
          <w:tcPr>
            <w:tcW w:w="244"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251"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665" w:type="pct"/>
            <w:tcBorders>
              <w:top w:val="nil"/>
              <w:left w:val="nil"/>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军事理论课程</w:t>
            </w:r>
          </w:p>
        </w:tc>
        <w:tc>
          <w:tcPr>
            <w:tcW w:w="3839" w:type="pct"/>
            <w:tcBorders>
              <w:top w:val="single" w:sz="4" w:space="0" w:color="auto"/>
              <w:left w:val="nil"/>
              <w:bottom w:val="single" w:sz="4" w:space="0" w:color="auto"/>
              <w:right w:val="single" w:sz="4" w:space="0" w:color="auto"/>
            </w:tcBorders>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培养学生的英雄情怀和家国情怀，增强学生的社会责任感和国防意识，激发学生关心国防、支持国防、建设国防的爱国热情。</w:t>
            </w:r>
          </w:p>
        </w:tc>
      </w:tr>
      <w:tr w:rsidR="000A1BC3" w:rsidTr="0069678E">
        <w:trPr>
          <w:trHeight w:val="1195"/>
          <w:tblHeader/>
        </w:trPr>
        <w:tc>
          <w:tcPr>
            <w:tcW w:w="244" w:type="pct"/>
            <w:vMerge/>
            <w:tcBorders>
              <w:top w:val="nil"/>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Cs w:val="21"/>
              </w:rPr>
            </w:pPr>
          </w:p>
        </w:tc>
        <w:tc>
          <w:tcPr>
            <w:tcW w:w="917" w:type="pct"/>
            <w:gridSpan w:val="2"/>
            <w:tcBorders>
              <w:top w:val="nil"/>
              <w:left w:val="nil"/>
              <w:bottom w:val="single" w:sz="4" w:space="0" w:color="auto"/>
              <w:right w:val="single" w:sz="4" w:space="0" w:color="auto"/>
            </w:tcBorders>
            <w:vAlign w:val="center"/>
          </w:tcPr>
          <w:p w:rsidR="000A1BC3" w:rsidRDefault="000A1BC3" w:rsidP="0069678E">
            <w:pPr>
              <w:widowControl/>
              <w:snapToGrid w:val="0"/>
              <w:jc w:val="center"/>
              <w:rPr>
                <w:rFonts w:ascii="仿宋" w:eastAsia="仿宋" w:hAnsi="仿宋" w:cs="宋体"/>
                <w:kern w:val="0"/>
                <w:sz w:val="18"/>
                <w:szCs w:val="18"/>
              </w:rPr>
            </w:pPr>
            <w:proofErr w:type="gramStart"/>
            <w:r>
              <w:rPr>
                <w:rFonts w:ascii="仿宋" w:eastAsia="仿宋" w:hAnsi="仿宋" w:cs="宋体" w:hint="eastAsia"/>
                <w:kern w:val="0"/>
                <w:szCs w:val="21"/>
              </w:rPr>
              <w:t>通识类选修课</w:t>
            </w:r>
            <w:proofErr w:type="gramEnd"/>
          </w:p>
        </w:tc>
        <w:tc>
          <w:tcPr>
            <w:tcW w:w="3839" w:type="pct"/>
            <w:tcBorders>
              <w:top w:val="single" w:sz="4" w:space="0" w:color="auto"/>
              <w:left w:val="nil"/>
              <w:bottom w:val="single" w:sz="4" w:space="0" w:color="auto"/>
              <w:right w:val="single" w:sz="4" w:space="0" w:color="auto"/>
            </w:tcBorders>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在潜移默化中坚定学生理想信念、厚植爱国主义情怀、加强品德修养、增长知识见识、</w:t>
            </w:r>
            <w:proofErr w:type="gramStart"/>
            <w:r>
              <w:rPr>
                <w:rFonts w:ascii="仿宋" w:eastAsia="仿宋" w:hAnsi="仿宋" w:cs="宋体" w:hint="eastAsia"/>
                <w:kern w:val="0"/>
                <w:szCs w:val="21"/>
              </w:rPr>
              <w:t>培养奋斗</w:t>
            </w:r>
            <w:proofErr w:type="gramEnd"/>
            <w:r>
              <w:rPr>
                <w:rFonts w:ascii="仿宋" w:eastAsia="仿宋" w:hAnsi="仿宋" w:cs="宋体" w:hint="eastAsia"/>
                <w:kern w:val="0"/>
                <w:szCs w:val="21"/>
              </w:rPr>
              <w:t>精神，提升学生综合素质。公共艺术教育课程要在教学中提升审美素养、陶冶情操、温润心灵、激发创造创新活力。</w:t>
            </w:r>
          </w:p>
        </w:tc>
      </w:tr>
    </w:tbl>
    <w:p w:rsidR="000A1BC3" w:rsidRDefault="000A1BC3" w:rsidP="000A1BC3">
      <w:pPr>
        <w:widowControl/>
        <w:snapToGrid w:val="0"/>
        <w:jc w:val="center"/>
        <w:rPr>
          <w:rFonts w:ascii="仿宋" w:eastAsia="仿宋" w:hAnsi="仿宋" w:cs="宋体"/>
          <w:kern w:val="0"/>
          <w:szCs w:val="21"/>
        </w:rPr>
        <w:sectPr w:rsidR="000A1BC3">
          <w:pgSz w:w="16838" w:h="11906" w:orient="landscape"/>
          <w:pgMar w:top="1418" w:right="1418" w:bottom="1418" w:left="1418" w:header="851" w:footer="992" w:gutter="0"/>
          <w:cols w:space="720"/>
          <w:docGrid w:type="linesAndChars" w:linePitch="312"/>
        </w:sectPr>
      </w:pPr>
    </w:p>
    <w:tbl>
      <w:tblPr>
        <w:tblW w:w="5000" w:type="pct"/>
        <w:tblLook w:val="0000" w:firstRow="0" w:lastRow="0" w:firstColumn="0" w:lastColumn="0" w:noHBand="0" w:noVBand="0"/>
      </w:tblPr>
      <w:tblGrid>
        <w:gridCol w:w="691"/>
        <w:gridCol w:w="712"/>
        <w:gridCol w:w="1888"/>
        <w:gridCol w:w="2166"/>
        <w:gridCol w:w="2736"/>
        <w:gridCol w:w="2103"/>
        <w:gridCol w:w="1990"/>
        <w:gridCol w:w="1888"/>
      </w:tblGrid>
      <w:tr w:rsidR="000A1BC3" w:rsidTr="0069678E">
        <w:trPr>
          <w:trHeight w:val="652"/>
          <w:tblHeader/>
        </w:trPr>
        <w:tc>
          <w:tcPr>
            <w:tcW w:w="244" w:type="pct"/>
            <w:tcBorders>
              <w:top w:val="single" w:sz="4" w:space="0" w:color="auto"/>
              <w:left w:val="single" w:sz="4" w:space="0" w:color="auto"/>
              <w:bottom w:val="single" w:sz="4" w:space="0" w:color="auto"/>
              <w:right w:val="single" w:sz="4" w:space="0" w:color="auto"/>
            </w:tcBorders>
            <w:vAlign w:val="center"/>
          </w:tcPr>
          <w:p w:rsidR="000A1BC3" w:rsidRDefault="000A1BC3" w:rsidP="0069678E">
            <w:pPr>
              <w:widowControl/>
              <w:snapToGrid w:val="0"/>
              <w:jc w:val="center"/>
              <w:rPr>
                <w:rFonts w:ascii="黑体" w:eastAsia="黑体" w:hAnsi="黑体" w:cs="宋体"/>
                <w:bCs/>
                <w:kern w:val="0"/>
                <w:szCs w:val="21"/>
              </w:rPr>
            </w:pPr>
            <w:r>
              <w:rPr>
                <w:rFonts w:ascii="黑体" w:eastAsia="黑体" w:hAnsi="黑体" w:cs="宋体" w:hint="eastAsia"/>
                <w:bCs/>
                <w:kern w:val="0"/>
                <w:szCs w:val="21"/>
              </w:rPr>
              <w:t>课程体系</w:t>
            </w:r>
          </w:p>
        </w:tc>
        <w:tc>
          <w:tcPr>
            <w:tcW w:w="251" w:type="pct"/>
            <w:tcBorders>
              <w:top w:val="single" w:sz="4" w:space="0" w:color="auto"/>
              <w:left w:val="nil"/>
              <w:bottom w:val="single" w:sz="4" w:space="0" w:color="auto"/>
              <w:right w:val="single" w:sz="4" w:space="0" w:color="auto"/>
            </w:tcBorders>
            <w:vAlign w:val="center"/>
          </w:tcPr>
          <w:p w:rsidR="000A1BC3" w:rsidRDefault="000A1BC3" w:rsidP="0069678E">
            <w:pPr>
              <w:widowControl/>
              <w:snapToGrid w:val="0"/>
              <w:jc w:val="center"/>
              <w:rPr>
                <w:rFonts w:ascii="黑体" w:eastAsia="黑体" w:hAnsi="黑体" w:cs="宋体"/>
                <w:bCs/>
                <w:kern w:val="0"/>
                <w:szCs w:val="21"/>
              </w:rPr>
            </w:pPr>
            <w:r>
              <w:rPr>
                <w:rFonts w:ascii="黑体" w:eastAsia="黑体" w:hAnsi="黑体" w:cs="宋体" w:hint="eastAsia"/>
                <w:bCs/>
                <w:kern w:val="0"/>
                <w:szCs w:val="21"/>
              </w:rPr>
              <w:t>课程属性</w:t>
            </w:r>
          </w:p>
        </w:tc>
        <w:tc>
          <w:tcPr>
            <w:tcW w:w="665" w:type="pct"/>
            <w:tcBorders>
              <w:top w:val="single" w:sz="4" w:space="0" w:color="auto"/>
              <w:left w:val="nil"/>
              <w:bottom w:val="single" w:sz="4" w:space="0" w:color="auto"/>
              <w:right w:val="single" w:sz="4" w:space="0" w:color="auto"/>
            </w:tcBorders>
            <w:vAlign w:val="center"/>
          </w:tcPr>
          <w:p w:rsidR="000A1BC3" w:rsidRDefault="000A1BC3" w:rsidP="0069678E">
            <w:pPr>
              <w:widowControl/>
              <w:snapToGrid w:val="0"/>
              <w:jc w:val="center"/>
              <w:rPr>
                <w:rFonts w:ascii="黑体" w:eastAsia="黑体" w:hAnsi="黑体" w:cs="宋体"/>
                <w:bCs/>
                <w:kern w:val="0"/>
                <w:szCs w:val="21"/>
              </w:rPr>
            </w:pPr>
            <w:r>
              <w:rPr>
                <w:rFonts w:ascii="黑体" w:eastAsia="黑体" w:hAnsi="黑体" w:cs="宋体" w:hint="eastAsia"/>
                <w:bCs/>
                <w:kern w:val="0"/>
                <w:szCs w:val="21"/>
              </w:rPr>
              <w:t>课程类别</w:t>
            </w:r>
          </w:p>
        </w:tc>
        <w:tc>
          <w:tcPr>
            <w:tcW w:w="3840" w:type="pct"/>
            <w:gridSpan w:val="5"/>
            <w:tcBorders>
              <w:top w:val="single" w:sz="4" w:space="0" w:color="auto"/>
              <w:left w:val="nil"/>
              <w:bottom w:val="single" w:sz="4" w:space="0" w:color="auto"/>
              <w:right w:val="single" w:sz="4" w:space="0" w:color="auto"/>
            </w:tcBorders>
            <w:vAlign w:val="center"/>
          </w:tcPr>
          <w:p w:rsidR="000A1BC3" w:rsidRDefault="000A1BC3" w:rsidP="0069678E">
            <w:pPr>
              <w:widowControl/>
              <w:snapToGrid w:val="0"/>
              <w:jc w:val="center"/>
              <w:rPr>
                <w:rFonts w:ascii="黑体" w:eastAsia="黑体" w:hAnsi="黑体" w:cs="宋体"/>
                <w:bCs/>
                <w:kern w:val="0"/>
                <w:szCs w:val="21"/>
              </w:rPr>
            </w:pPr>
            <w:proofErr w:type="gramStart"/>
            <w:r>
              <w:rPr>
                <w:rFonts w:ascii="黑体" w:eastAsia="黑体" w:hAnsi="黑体" w:cs="宋体" w:hint="eastAsia"/>
                <w:bCs/>
                <w:kern w:val="0"/>
                <w:szCs w:val="21"/>
              </w:rPr>
              <w:t>课程思政融入</w:t>
            </w:r>
            <w:proofErr w:type="gramEnd"/>
            <w:r>
              <w:rPr>
                <w:rFonts w:ascii="黑体" w:eastAsia="黑体" w:hAnsi="黑体" w:cs="宋体" w:hint="eastAsia"/>
                <w:bCs/>
                <w:kern w:val="0"/>
                <w:szCs w:val="21"/>
              </w:rPr>
              <w:t>内容要求</w:t>
            </w:r>
          </w:p>
        </w:tc>
      </w:tr>
      <w:tr w:rsidR="000A1BC3" w:rsidTr="0069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1"/>
        </w:trPr>
        <w:tc>
          <w:tcPr>
            <w:tcW w:w="1161" w:type="pct"/>
            <w:gridSpan w:val="3"/>
            <w:vMerge w:val="restart"/>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学科与专业教育</w:t>
            </w:r>
          </w:p>
        </w:tc>
        <w:tc>
          <w:tcPr>
            <w:tcW w:w="3839" w:type="pct"/>
            <w:gridSpan w:val="5"/>
            <w:vAlign w:val="center"/>
          </w:tcPr>
          <w:p w:rsidR="000A1BC3" w:rsidRDefault="000A1BC3" w:rsidP="0069678E">
            <w:pPr>
              <w:widowControl/>
              <w:snapToGrid w:val="0"/>
              <w:jc w:val="left"/>
              <w:rPr>
                <w:rFonts w:ascii="仿宋" w:eastAsia="仿宋" w:hAnsi="仿宋" w:cs="宋体"/>
                <w:b/>
                <w:kern w:val="0"/>
                <w:szCs w:val="21"/>
              </w:rPr>
            </w:pPr>
            <w:r>
              <w:rPr>
                <w:rFonts w:ascii="仿宋" w:eastAsia="仿宋" w:hAnsi="仿宋" w:cs="宋体" w:hint="eastAsia"/>
                <w:kern w:val="0"/>
                <w:szCs w:val="21"/>
              </w:rPr>
              <w:t>总体要求：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tc>
      </w:tr>
      <w:tr w:rsidR="000A1BC3" w:rsidTr="0069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1161" w:type="pct"/>
            <w:gridSpan w:val="3"/>
            <w:vMerge/>
            <w:vAlign w:val="center"/>
          </w:tcPr>
          <w:p w:rsidR="000A1BC3" w:rsidRDefault="000A1BC3" w:rsidP="0069678E">
            <w:pPr>
              <w:widowControl/>
              <w:snapToGrid w:val="0"/>
              <w:jc w:val="center"/>
              <w:rPr>
                <w:rFonts w:ascii="仿宋" w:eastAsia="仿宋" w:hAnsi="仿宋" w:cs="宋体"/>
                <w:kern w:val="0"/>
                <w:szCs w:val="21"/>
              </w:rPr>
            </w:pPr>
          </w:p>
        </w:tc>
        <w:tc>
          <w:tcPr>
            <w:tcW w:w="764" w:type="pct"/>
            <w:vAlign w:val="center"/>
          </w:tcPr>
          <w:p w:rsidR="000A1BC3" w:rsidRDefault="000A1BC3" w:rsidP="0069678E">
            <w:pPr>
              <w:widowControl/>
              <w:snapToGrid w:val="0"/>
              <w:jc w:val="center"/>
              <w:rPr>
                <w:rFonts w:ascii="黑体" w:eastAsia="黑体" w:hAnsi="黑体" w:cs="宋体"/>
                <w:kern w:val="0"/>
                <w:szCs w:val="21"/>
              </w:rPr>
            </w:pPr>
            <w:r>
              <w:rPr>
                <w:rFonts w:ascii="黑体" w:eastAsia="黑体" w:hAnsi="黑体" w:cs="宋体" w:hint="eastAsia"/>
                <w:kern w:val="0"/>
                <w:szCs w:val="21"/>
              </w:rPr>
              <w:t>农学类课程</w:t>
            </w:r>
          </w:p>
        </w:tc>
        <w:tc>
          <w:tcPr>
            <w:tcW w:w="965" w:type="pct"/>
            <w:vAlign w:val="center"/>
          </w:tcPr>
          <w:p w:rsidR="000A1BC3" w:rsidRDefault="000A1BC3" w:rsidP="0069678E">
            <w:pPr>
              <w:widowControl/>
              <w:snapToGrid w:val="0"/>
              <w:jc w:val="center"/>
              <w:rPr>
                <w:rFonts w:ascii="黑体" w:eastAsia="黑体" w:hAnsi="黑体" w:cs="宋体"/>
                <w:kern w:val="0"/>
                <w:szCs w:val="21"/>
              </w:rPr>
            </w:pPr>
            <w:r>
              <w:rPr>
                <w:rFonts w:ascii="黑体" w:eastAsia="黑体" w:hAnsi="黑体" w:cs="宋体" w:hint="eastAsia"/>
                <w:kern w:val="0"/>
                <w:szCs w:val="21"/>
              </w:rPr>
              <w:t>理学、</w:t>
            </w:r>
            <w:proofErr w:type="gramStart"/>
            <w:r>
              <w:rPr>
                <w:rFonts w:ascii="黑体" w:eastAsia="黑体" w:hAnsi="黑体" w:cs="宋体" w:hint="eastAsia"/>
                <w:kern w:val="0"/>
                <w:szCs w:val="21"/>
              </w:rPr>
              <w:t>工学类课程</w:t>
            </w:r>
            <w:proofErr w:type="gramEnd"/>
          </w:p>
        </w:tc>
        <w:tc>
          <w:tcPr>
            <w:tcW w:w="742" w:type="pct"/>
            <w:vAlign w:val="center"/>
          </w:tcPr>
          <w:p w:rsidR="000A1BC3" w:rsidRDefault="000A1BC3" w:rsidP="0069678E">
            <w:pPr>
              <w:widowControl/>
              <w:snapToGrid w:val="0"/>
              <w:jc w:val="center"/>
              <w:rPr>
                <w:rFonts w:ascii="黑体" w:eastAsia="黑体" w:hAnsi="黑体" w:cs="宋体"/>
                <w:kern w:val="0"/>
                <w:szCs w:val="21"/>
              </w:rPr>
            </w:pPr>
            <w:r>
              <w:rPr>
                <w:rFonts w:ascii="黑体" w:eastAsia="黑体" w:hAnsi="黑体" w:cs="宋体" w:hint="eastAsia"/>
                <w:kern w:val="0"/>
                <w:szCs w:val="21"/>
              </w:rPr>
              <w:t>经济学、管理学、</w:t>
            </w:r>
          </w:p>
          <w:p w:rsidR="000A1BC3" w:rsidRDefault="000A1BC3" w:rsidP="0069678E">
            <w:pPr>
              <w:widowControl/>
              <w:snapToGrid w:val="0"/>
              <w:jc w:val="center"/>
              <w:rPr>
                <w:rFonts w:ascii="黑体" w:eastAsia="黑体" w:hAnsi="黑体" w:cs="宋体"/>
                <w:kern w:val="0"/>
                <w:szCs w:val="21"/>
              </w:rPr>
            </w:pPr>
            <w:r>
              <w:rPr>
                <w:rFonts w:ascii="黑体" w:eastAsia="黑体" w:hAnsi="黑体" w:cs="宋体" w:hint="eastAsia"/>
                <w:kern w:val="0"/>
                <w:szCs w:val="21"/>
              </w:rPr>
              <w:t>法学类课程</w:t>
            </w:r>
          </w:p>
        </w:tc>
        <w:tc>
          <w:tcPr>
            <w:tcW w:w="702" w:type="pct"/>
            <w:vAlign w:val="center"/>
          </w:tcPr>
          <w:p w:rsidR="000A1BC3" w:rsidRDefault="000A1BC3" w:rsidP="0069678E">
            <w:pPr>
              <w:widowControl/>
              <w:snapToGrid w:val="0"/>
              <w:jc w:val="center"/>
              <w:rPr>
                <w:rFonts w:ascii="黑体" w:eastAsia="黑体" w:hAnsi="黑体" w:cs="宋体"/>
                <w:kern w:val="0"/>
                <w:szCs w:val="21"/>
              </w:rPr>
            </w:pPr>
            <w:r>
              <w:rPr>
                <w:rFonts w:ascii="黑体" w:eastAsia="黑体" w:hAnsi="黑体" w:cs="宋体" w:hint="eastAsia"/>
                <w:kern w:val="0"/>
                <w:szCs w:val="21"/>
              </w:rPr>
              <w:t>文学类课程</w:t>
            </w:r>
          </w:p>
        </w:tc>
        <w:tc>
          <w:tcPr>
            <w:tcW w:w="666" w:type="pct"/>
            <w:vAlign w:val="center"/>
          </w:tcPr>
          <w:p w:rsidR="000A1BC3" w:rsidRDefault="000A1BC3" w:rsidP="0069678E">
            <w:pPr>
              <w:widowControl/>
              <w:snapToGrid w:val="0"/>
              <w:jc w:val="center"/>
              <w:rPr>
                <w:rFonts w:ascii="黑体" w:eastAsia="黑体" w:hAnsi="黑体" w:cs="宋体"/>
                <w:kern w:val="0"/>
                <w:szCs w:val="21"/>
              </w:rPr>
            </w:pPr>
            <w:proofErr w:type="gramStart"/>
            <w:r>
              <w:rPr>
                <w:rFonts w:ascii="黑体" w:eastAsia="黑体" w:hAnsi="黑体" w:cs="宋体" w:hint="eastAsia"/>
                <w:kern w:val="0"/>
                <w:szCs w:val="21"/>
              </w:rPr>
              <w:t>艺术学类课程</w:t>
            </w:r>
            <w:proofErr w:type="gramEnd"/>
          </w:p>
        </w:tc>
      </w:tr>
      <w:tr w:rsidR="000A1BC3" w:rsidTr="0069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0"/>
        </w:trPr>
        <w:tc>
          <w:tcPr>
            <w:tcW w:w="1161" w:type="pct"/>
            <w:gridSpan w:val="3"/>
            <w:vMerge/>
            <w:vAlign w:val="center"/>
          </w:tcPr>
          <w:p w:rsidR="000A1BC3" w:rsidRDefault="000A1BC3" w:rsidP="0069678E">
            <w:pPr>
              <w:widowControl/>
              <w:snapToGrid w:val="0"/>
              <w:jc w:val="center"/>
              <w:rPr>
                <w:rFonts w:ascii="仿宋" w:eastAsia="仿宋" w:hAnsi="仿宋" w:cs="宋体"/>
                <w:kern w:val="0"/>
                <w:szCs w:val="21"/>
              </w:rPr>
            </w:pPr>
          </w:p>
        </w:tc>
        <w:tc>
          <w:tcPr>
            <w:tcW w:w="764" w:type="pct"/>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要在课程教学中加强生态文明教育，引导学生树立和</w:t>
            </w:r>
            <w:proofErr w:type="gramStart"/>
            <w:r>
              <w:rPr>
                <w:rFonts w:ascii="仿宋" w:eastAsia="仿宋" w:hAnsi="仿宋" w:cs="宋体" w:hint="eastAsia"/>
                <w:kern w:val="0"/>
                <w:szCs w:val="21"/>
              </w:rPr>
              <w:t>践行</w:t>
            </w:r>
            <w:proofErr w:type="gramEnd"/>
            <w:r>
              <w:rPr>
                <w:rFonts w:ascii="仿宋" w:eastAsia="仿宋" w:hAnsi="仿宋" w:cs="宋体" w:hint="eastAsia"/>
                <w:kern w:val="0"/>
                <w:szCs w:val="21"/>
              </w:rPr>
              <w:t>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w:t>
            </w:r>
            <w:proofErr w:type="gramStart"/>
            <w:r>
              <w:rPr>
                <w:rFonts w:ascii="仿宋" w:eastAsia="仿宋" w:hAnsi="仿宋" w:cs="宋体" w:hint="eastAsia"/>
                <w:kern w:val="0"/>
                <w:szCs w:val="21"/>
              </w:rPr>
              <w:t>培养知农爱农</w:t>
            </w:r>
            <w:proofErr w:type="gramEnd"/>
            <w:r>
              <w:rPr>
                <w:rFonts w:ascii="仿宋" w:eastAsia="仿宋" w:hAnsi="仿宋" w:cs="宋体" w:hint="eastAsia"/>
                <w:kern w:val="0"/>
                <w:szCs w:val="21"/>
              </w:rPr>
              <w:t>创新人才。</w:t>
            </w:r>
          </w:p>
        </w:tc>
        <w:tc>
          <w:tcPr>
            <w:tcW w:w="965" w:type="pct"/>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Pr>
                <w:rFonts w:ascii="仿宋" w:eastAsia="仿宋" w:hAnsi="仿宋" w:cs="宋体" w:hint="eastAsia"/>
                <w:kern w:val="0"/>
                <w:szCs w:val="21"/>
              </w:rPr>
              <w:t>工学类专业</w:t>
            </w:r>
            <w:proofErr w:type="gramEnd"/>
            <w:r>
              <w:rPr>
                <w:rFonts w:ascii="仿宋" w:eastAsia="仿宋" w:hAnsi="仿宋" w:cs="宋体" w:hint="eastAsia"/>
                <w:kern w:val="0"/>
                <w:szCs w:val="21"/>
              </w:rPr>
              <w:t>课程，要注重强化学生工程伦理教育，培养学生精益求精的大国工匠精神，激发学生科技报国的家国情怀和使命担当。</w:t>
            </w:r>
          </w:p>
        </w:tc>
        <w:tc>
          <w:tcPr>
            <w:tcW w:w="742" w:type="pct"/>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tc>
        <w:tc>
          <w:tcPr>
            <w:tcW w:w="702" w:type="pct"/>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要在课程教学中帮助学生掌握马克思主义世界观和方法论，从历史与现实、理论与实践等维</w:t>
            </w:r>
            <w:proofErr w:type="gramStart"/>
            <w:r>
              <w:rPr>
                <w:rFonts w:ascii="仿宋" w:eastAsia="仿宋" w:hAnsi="仿宋" w:cs="宋体" w:hint="eastAsia"/>
                <w:kern w:val="0"/>
                <w:szCs w:val="21"/>
              </w:rPr>
              <w:t>度深刻</w:t>
            </w:r>
            <w:proofErr w:type="gramEnd"/>
            <w:r>
              <w:rPr>
                <w:rFonts w:ascii="仿宋" w:eastAsia="仿宋" w:hAnsi="仿宋" w:cs="宋体" w:hint="eastAsia"/>
                <w:kern w:val="0"/>
                <w:szCs w:val="21"/>
              </w:rPr>
              <w:t>理解习近平新时代中国特色社会主义思想。要结合专业知识教育引导学生深刻理解社会主义核心价值观，自觉弘扬中华优秀传统文化、革命文化、社会主义先进文化。</w:t>
            </w:r>
          </w:p>
        </w:tc>
        <w:tc>
          <w:tcPr>
            <w:tcW w:w="666" w:type="pct"/>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tc>
      </w:tr>
      <w:tr w:rsidR="000A1BC3" w:rsidTr="0069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3"/>
        </w:trPr>
        <w:tc>
          <w:tcPr>
            <w:tcW w:w="1161" w:type="pct"/>
            <w:gridSpan w:val="3"/>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综合实践</w:t>
            </w:r>
          </w:p>
        </w:tc>
        <w:tc>
          <w:tcPr>
            <w:tcW w:w="3839" w:type="pct"/>
            <w:gridSpan w:val="5"/>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引导学生树立和</w:t>
            </w:r>
            <w:proofErr w:type="gramStart"/>
            <w:r>
              <w:rPr>
                <w:rFonts w:ascii="仿宋" w:eastAsia="仿宋" w:hAnsi="仿宋" w:cs="宋体" w:hint="eastAsia"/>
                <w:kern w:val="0"/>
                <w:szCs w:val="21"/>
              </w:rPr>
              <w:t>践行</w:t>
            </w:r>
            <w:proofErr w:type="gramEnd"/>
            <w:r>
              <w:rPr>
                <w:rFonts w:ascii="仿宋" w:eastAsia="仿宋" w:hAnsi="仿宋" w:cs="宋体" w:hint="eastAsia"/>
                <w:kern w:val="0"/>
                <w:szCs w:val="21"/>
              </w:rPr>
              <w:t>绿水青山就是金山银山的理念，注重学思结合、知行统一，注重培养学生勇于探索的创新精神、善于解决问题的实践能力。树立正确的劳动观念、具有必备的劳动能力、培育积极的劳动精神、养成良好的劳动习惯和品质。</w:t>
            </w:r>
          </w:p>
        </w:tc>
      </w:tr>
      <w:tr w:rsidR="000A1BC3" w:rsidTr="0069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161" w:type="pct"/>
            <w:gridSpan w:val="3"/>
            <w:vAlign w:val="center"/>
          </w:tcPr>
          <w:p w:rsidR="000A1BC3" w:rsidRDefault="000A1BC3" w:rsidP="0069678E">
            <w:pPr>
              <w:widowControl/>
              <w:snapToGrid w:val="0"/>
              <w:jc w:val="center"/>
              <w:rPr>
                <w:rFonts w:ascii="仿宋" w:eastAsia="仿宋" w:hAnsi="仿宋" w:cs="宋体"/>
                <w:kern w:val="0"/>
                <w:szCs w:val="21"/>
              </w:rPr>
            </w:pPr>
            <w:r>
              <w:rPr>
                <w:rFonts w:ascii="仿宋" w:eastAsia="仿宋" w:hAnsi="仿宋" w:cs="宋体" w:hint="eastAsia"/>
                <w:kern w:val="0"/>
                <w:szCs w:val="21"/>
              </w:rPr>
              <w:t>素质拓展</w:t>
            </w:r>
          </w:p>
        </w:tc>
        <w:tc>
          <w:tcPr>
            <w:tcW w:w="3839" w:type="pct"/>
            <w:gridSpan w:val="5"/>
            <w:vAlign w:val="center"/>
          </w:tcPr>
          <w:p w:rsidR="000A1BC3" w:rsidRDefault="000A1BC3" w:rsidP="0069678E">
            <w:pPr>
              <w:widowControl/>
              <w:snapToGrid w:val="0"/>
              <w:jc w:val="left"/>
              <w:rPr>
                <w:rFonts w:ascii="仿宋" w:eastAsia="仿宋" w:hAnsi="仿宋" w:cs="宋体"/>
                <w:kern w:val="0"/>
                <w:szCs w:val="21"/>
              </w:rPr>
            </w:pPr>
            <w:r>
              <w:rPr>
                <w:rFonts w:ascii="仿宋" w:eastAsia="仿宋" w:hAnsi="仿宋" w:cs="宋体" w:hint="eastAsia"/>
                <w:kern w:val="0"/>
                <w:szCs w:val="21"/>
              </w:rPr>
              <w:t>引导大学生对人生观、价值观问题的正确思考，塑造当代大学生正确的价值追求。引导学生了解国家总体安全观的内涵和精神实质，理解中国特色国家安全体系，树立国家安全底线思维，强化责任担当。在美育教学中提升审美素养、陶冶情操、温润心灵、激发创造创新活力。教育引导学生深刻理解并自觉实践各行业的职业精神和职业规范，增强职业责任感，培养遵纪守法、爱岗敬业、无私奉献、诚实守信、公道办事、开拓创新的职业品格和行为习惯，让学生“敢闯会创”，在亲身参与中增强创新精神、创造意识和创业能力。</w:t>
            </w:r>
          </w:p>
        </w:tc>
      </w:tr>
    </w:tbl>
    <w:p w:rsidR="00FC742A" w:rsidRPr="000A1BC3" w:rsidRDefault="00FC742A"/>
    <w:sectPr w:rsidR="00FC742A" w:rsidRPr="000A1BC3" w:rsidSect="000A1BC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5D" w:rsidRDefault="00384A5D" w:rsidP="000A1BC3">
      <w:r>
        <w:separator/>
      </w:r>
    </w:p>
  </w:endnote>
  <w:endnote w:type="continuationSeparator" w:id="0">
    <w:p w:rsidR="00384A5D" w:rsidRDefault="00384A5D" w:rsidP="000A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5D" w:rsidRDefault="00384A5D" w:rsidP="000A1BC3">
      <w:r>
        <w:separator/>
      </w:r>
    </w:p>
  </w:footnote>
  <w:footnote w:type="continuationSeparator" w:id="0">
    <w:p w:rsidR="00384A5D" w:rsidRDefault="00384A5D" w:rsidP="000A1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54"/>
    <w:rsid w:val="000013D9"/>
    <w:rsid w:val="00002A93"/>
    <w:rsid w:val="00016437"/>
    <w:rsid w:val="00016F5C"/>
    <w:rsid w:val="00017715"/>
    <w:rsid w:val="00021BBF"/>
    <w:rsid w:val="000348EB"/>
    <w:rsid w:val="00043319"/>
    <w:rsid w:val="00047F82"/>
    <w:rsid w:val="000538C0"/>
    <w:rsid w:val="000543D2"/>
    <w:rsid w:val="00054793"/>
    <w:rsid w:val="0005609B"/>
    <w:rsid w:val="0005614C"/>
    <w:rsid w:val="00062D5E"/>
    <w:rsid w:val="000634C0"/>
    <w:rsid w:val="000641A2"/>
    <w:rsid w:val="0006732E"/>
    <w:rsid w:val="00071734"/>
    <w:rsid w:val="0008119E"/>
    <w:rsid w:val="00081B54"/>
    <w:rsid w:val="000872DC"/>
    <w:rsid w:val="00091684"/>
    <w:rsid w:val="00093E68"/>
    <w:rsid w:val="000A1BC3"/>
    <w:rsid w:val="000A250E"/>
    <w:rsid w:val="000A41DC"/>
    <w:rsid w:val="000B6033"/>
    <w:rsid w:val="000B636A"/>
    <w:rsid w:val="000C4B24"/>
    <w:rsid w:val="000C57A6"/>
    <w:rsid w:val="000C62FD"/>
    <w:rsid w:val="000C7FC1"/>
    <w:rsid w:val="000D16A6"/>
    <w:rsid w:val="000D596A"/>
    <w:rsid w:val="000E4610"/>
    <w:rsid w:val="000E73FD"/>
    <w:rsid w:val="000F0B17"/>
    <w:rsid w:val="000F4578"/>
    <w:rsid w:val="000F6489"/>
    <w:rsid w:val="00100633"/>
    <w:rsid w:val="00102D60"/>
    <w:rsid w:val="00112EF5"/>
    <w:rsid w:val="00115B4F"/>
    <w:rsid w:val="0013475B"/>
    <w:rsid w:val="001370DF"/>
    <w:rsid w:val="001505DE"/>
    <w:rsid w:val="00154873"/>
    <w:rsid w:val="001611FB"/>
    <w:rsid w:val="001648AA"/>
    <w:rsid w:val="00165115"/>
    <w:rsid w:val="00165349"/>
    <w:rsid w:val="0017071F"/>
    <w:rsid w:val="00173C9E"/>
    <w:rsid w:val="00176102"/>
    <w:rsid w:val="00181539"/>
    <w:rsid w:val="00184B8E"/>
    <w:rsid w:val="00185455"/>
    <w:rsid w:val="00186C7F"/>
    <w:rsid w:val="00192424"/>
    <w:rsid w:val="00194DC2"/>
    <w:rsid w:val="001A2818"/>
    <w:rsid w:val="001A36DF"/>
    <w:rsid w:val="001A606C"/>
    <w:rsid w:val="001A7CD8"/>
    <w:rsid w:val="001B3C7C"/>
    <w:rsid w:val="001C3610"/>
    <w:rsid w:val="001D2790"/>
    <w:rsid w:val="001D466A"/>
    <w:rsid w:val="001D73B4"/>
    <w:rsid w:val="001E4815"/>
    <w:rsid w:val="001E6AAB"/>
    <w:rsid w:val="002011A2"/>
    <w:rsid w:val="002047EC"/>
    <w:rsid w:val="00205687"/>
    <w:rsid w:val="00210572"/>
    <w:rsid w:val="00210E49"/>
    <w:rsid w:val="0021215A"/>
    <w:rsid w:val="0022182A"/>
    <w:rsid w:val="002229A0"/>
    <w:rsid w:val="00225104"/>
    <w:rsid w:val="00254BE5"/>
    <w:rsid w:val="00256D3A"/>
    <w:rsid w:val="002572FB"/>
    <w:rsid w:val="00264AC2"/>
    <w:rsid w:val="0026599D"/>
    <w:rsid w:val="00270932"/>
    <w:rsid w:val="00270E0E"/>
    <w:rsid w:val="00272E9F"/>
    <w:rsid w:val="00284ECA"/>
    <w:rsid w:val="002922DF"/>
    <w:rsid w:val="002A03BB"/>
    <w:rsid w:val="002B154E"/>
    <w:rsid w:val="002B253A"/>
    <w:rsid w:val="002B373D"/>
    <w:rsid w:val="002B3A01"/>
    <w:rsid w:val="002B45B3"/>
    <w:rsid w:val="002B6519"/>
    <w:rsid w:val="002C0C72"/>
    <w:rsid w:val="002C128B"/>
    <w:rsid w:val="002C5BCA"/>
    <w:rsid w:val="002C73C6"/>
    <w:rsid w:val="002D62D7"/>
    <w:rsid w:val="002E0464"/>
    <w:rsid w:val="002E4655"/>
    <w:rsid w:val="002F19A7"/>
    <w:rsid w:val="002F2969"/>
    <w:rsid w:val="00302710"/>
    <w:rsid w:val="00303ACD"/>
    <w:rsid w:val="00305221"/>
    <w:rsid w:val="00307BF3"/>
    <w:rsid w:val="0031645C"/>
    <w:rsid w:val="0031677A"/>
    <w:rsid w:val="00317B9B"/>
    <w:rsid w:val="00325EF5"/>
    <w:rsid w:val="00326501"/>
    <w:rsid w:val="0032745D"/>
    <w:rsid w:val="00334EE1"/>
    <w:rsid w:val="00335215"/>
    <w:rsid w:val="00335373"/>
    <w:rsid w:val="00337DA1"/>
    <w:rsid w:val="00342771"/>
    <w:rsid w:val="00344EFC"/>
    <w:rsid w:val="003460E4"/>
    <w:rsid w:val="00351B78"/>
    <w:rsid w:val="00354FCB"/>
    <w:rsid w:val="0036240F"/>
    <w:rsid w:val="003666A4"/>
    <w:rsid w:val="00366BC6"/>
    <w:rsid w:val="00366E93"/>
    <w:rsid w:val="00373BF3"/>
    <w:rsid w:val="00374EB7"/>
    <w:rsid w:val="00380FDB"/>
    <w:rsid w:val="003834FC"/>
    <w:rsid w:val="00384A5D"/>
    <w:rsid w:val="00384F00"/>
    <w:rsid w:val="003864B9"/>
    <w:rsid w:val="00390EA7"/>
    <w:rsid w:val="00392686"/>
    <w:rsid w:val="003A352C"/>
    <w:rsid w:val="003A42CE"/>
    <w:rsid w:val="003A64F9"/>
    <w:rsid w:val="003B3D0C"/>
    <w:rsid w:val="003C1FE1"/>
    <w:rsid w:val="003C2719"/>
    <w:rsid w:val="003D044A"/>
    <w:rsid w:val="003D3298"/>
    <w:rsid w:val="003D4B5F"/>
    <w:rsid w:val="003D7C92"/>
    <w:rsid w:val="003E0992"/>
    <w:rsid w:val="003E43C2"/>
    <w:rsid w:val="003E7B0E"/>
    <w:rsid w:val="003E7CDE"/>
    <w:rsid w:val="003F61B6"/>
    <w:rsid w:val="003F6DB6"/>
    <w:rsid w:val="00405710"/>
    <w:rsid w:val="00412D91"/>
    <w:rsid w:val="004178CC"/>
    <w:rsid w:val="004218C6"/>
    <w:rsid w:val="004224BE"/>
    <w:rsid w:val="00422F2F"/>
    <w:rsid w:val="00426877"/>
    <w:rsid w:val="00430014"/>
    <w:rsid w:val="00435F1C"/>
    <w:rsid w:val="004378A0"/>
    <w:rsid w:val="00440935"/>
    <w:rsid w:val="004409B1"/>
    <w:rsid w:val="0044425F"/>
    <w:rsid w:val="004451B9"/>
    <w:rsid w:val="00445A6A"/>
    <w:rsid w:val="004506DB"/>
    <w:rsid w:val="0045627E"/>
    <w:rsid w:val="004565E0"/>
    <w:rsid w:val="00461DBA"/>
    <w:rsid w:val="0046225A"/>
    <w:rsid w:val="0046295C"/>
    <w:rsid w:val="00463626"/>
    <w:rsid w:val="00465395"/>
    <w:rsid w:val="00474152"/>
    <w:rsid w:val="00483D09"/>
    <w:rsid w:val="00485538"/>
    <w:rsid w:val="00485B59"/>
    <w:rsid w:val="004949A4"/>
    <w:rsid w:val="00497A49"/>
    <w:rsid w:val="004A1880"/>
    <w:rsid w:val="004A1BE3"/>
    <w:rsid w:val="004A6095"/>
    <w:rsid w:val="004A6D7E"/>
    <w:rsid w:val="004A73A9"/>
    <w:rsid w:val="004A74DE"/>
    <w:rsid w:val="004B0EEF"/>
    <w:rsid w:val="004C72EF"/>
    <w:rsid w:val="004D14AA"/>
    <w:rsid w:val="004D582B"/>
    <w:rsid w:val="004E15C5"/>
    <w:rsid w:val="004E265A"/>
    <w:rsid w:val="004E293E"/>
    <w:rsid w:val="004E3600"/>
    <w:rsid w:val="004F2254"/>
    <w:rsid w:val="00502BCF"/>
    <w:rsid w:val="00503024"/>
    <w:rsid w:val="00506251"/>
    <w:rsid w:val="0051460E"/>
    <w:rsid w:val="00530C81"/>
    <w:rsid w:val="0053594C"/>
    <w:rsid w:val="00535B2C"/>
    <w:rsid w:val="00537E10"/>
    <w:rsid w:val="00544031"/>
    <w:rsid w:val="00546CDF"/>
    <w:rsid w:val="0055074C"/>
    <w:rsid w:val="00551758"/>
    <w:rsid w:val="00554A93"/>
    <w:rsid w:val="0056105D"/>
    <w:rsid w:val="0056144A"/>
    <w:rsid w:val="00561955"/>
    <w:rsid w:val="00562668"/>
    <w:rsid w:val="005628DE"/>
    <w:rsid w:val="00567BBB"/>
    <w:rsid w:val="00573A07"/>
    <w:rsid w:val="00584692"/>
    <w:rsid w:val="005A503B"/>
    <w:rsid w:val="005A5B58"/>
    <w:rsid w:val="005B12D8"/>
    <w:rsid w:val="005B1DE2"/>
    <w:rsid w:val="005B2634"/>
    <w:rsid w:val="005C2BC0"/>
    <w:rsid w:val="005C4355"/>
    <w:rsid w:val="005C7FCD"/>
    <w:rsid w:val="005D0FB2"/>
    <w:rsid w:val="005D192C"/>
    <w:rsid w:val="005D26B4"/>
    <w:rsid w:val="005D307B"/>
    <w:rsid w:val="005D3789"/>
    <w:rsid w:val="005D6092"/>
    <w:rsid w:val="005D7DB1"/>
    <w:rsid w:val="005E0B18"/>
    <w:rsid w:val="005E3324"/>
    <w:rsid w:val="005E387A"/>
    <w:rsid w:val="005E3C12"/>
    <w:rsid w:val="005E6172"/>
    <w:rsid w:val="005F3DC5"/>
    <w:rsid w:val="006036DA"/>
    <w:rsid w:val="00610C39"/>
    <w:rsid w:val="006157AA"/>
    <w:rsid w:val="006160F6"/>
    <w:rsid w:val="00616401"/>
    <w:rsid w:val="00623391"/>
    <w:rsid w:val="00626875"/>
    <w:rsid w:val="006317AB"/>
    <w:rsid w:val="0064237A"/>
    <w:rsid w:val="00644B03"/>
    <w:rsid w:val="00650A9C"/>
    <w:rsid w:val="00655ABB"/>
    <w:rsid w:val="00657DC0"/>
    <w:rsid w:val="00662BA1"/>
    <w:rsid w:val="00674734"/>
    <w:rsid w:val="00674967"/>
    <w:rsid w:val="00674AC9"/>
    <w:rsid w:val="00680108"/>
    <w:rsid w:val="00680E59"/>
    <w:rsid w:val="006828A0"/>
    <w:rsid w:val="006829CB"/>
    <w:rsid w:val="00684632"/>
    <w:rsid w:val="006859FB"/>
    <w:rsid w:val="00690D54"/>
    <w:rsid w:val="00697544"/>
    <w:rsid w:val="006A058B"/>
    <w:rsid w:val="006A2824"/>
    <w:rsid w:val="006A5D68"/>
    <w:rsid w:val="006B2AEF"/>
    <w:rsid w:val="006B2FFA"/>
    <w:rsid w:val="006B412B"/>
    <w:rsid w:val="006B663C"/>
    <w:rsid w:val="006C1961"/>
    <w:rsid w:val="006C7E8E"/>
    <w:rsid w:val="006D174B"/>
    <w:rsid w:val="006D5E81"/>
    <w:rsid w:val="006E0617"/>
    <w:rsid w:val="006F4F35"/>
    <w:rsid w:val="006F6469"/>
    <w:rsid w:val="00700D9C"/>
    <w:rsid w:val="00706565"/>
    <w:rsid w:val="00714F12"/>
    <w:rsid w:val="00717C77"/>
    <w:rsid w:val="00721346"/>
    <w:rsid w:val="00721A96"/>
    <w:rsid w:val="007249C8"/>
    <w:rsid w:val="00724C81"/>
    <w:rsid w:val="00725504"/>
    <w:rsid w:val="00733401"/>
    <w:rsid w:val="00734C29"/>
    <w:rsid w:val="00741B3F"/>
    <w:rsid w:val="00743713"/>
    <w:rsid w:val="00747936"/>
    <w:rsid w:val="00747BD2"/>
    <w:rsid w:val="00753DD4"/>
    <w:rsid w:val="00755B09"/>
    <w:rsid w:val="0075650F"/>
    <w:rsid w:val="00763478"/>
    <w:rsid w:val="007644E1"/>
    <w:rsid w:val="007803F0"/>
    <w:rsid w:val="00782C8F"/>
    <w:rsid w:val="00784CD7"/>
    <w:rsid w:val="00784D06"/>
    <w:rsid w:val="007867B7"/>
    <w:rsid w:val="007920EE"/>
    <w:rsid w:val="007A4C88"/>
    <w:rsid w:val="007A6AC4"/>
    <w:rsid w:val="007C1F86"/>
    <w:rsid w:val="007C26A4"/>
    <w:rsid w:val="007C3309"/>
    <w:rsid w:val="007C756C"/>
    <w:rsid w:val="007D0130"/>
    <w:rsid w:val="007D3AA3"/>
    <w:rsid w:val="007D582C"/>
    <w:rsid w:val="007E004A"/>
    <w:rsid w:val="007E2045"/>
    <w:rsid w:val="007F11F0"/>
    <w:rsid w:val="0080365C"/>
    <w:rsid w:val="008059DC"/>
    <w:rsid w:val="00820F2A"/>
    <w:rsid w:val="00826C7F"/>
    <w:rsid w:val="0083617A"/>
    <w:rsid w:val="00850447"/>
    <w:rsid w:val="0086727C"/>
    <w:rsid w:val="00867C1A"/>
    <w:rsid w:val="00871F3D"/>
    <w:rsid w:val="008758F1"/>
    <w:rsid w:val="008764E1"/>
    <w:rsid w:val="00881CE8"/>
    <w:rsid w:val="00884693"/>
    <w:rsid w:val="00885092"/>
    <w:rsid w:val="00885A5B"/>
    <w:rsid w:val="00886894"/>
    <w:rsid w:val="00892113"/>
    <w:rsid w:val="00892E8F"/>
    <w:rsid w:val="00895BE9"/>
    <w:rsid w:val="00896BAE"/>
    <w:rsid w:val="008A2809"/>
    <w:rsid w:val="008A5001"/>
    <w:rsid w:val="008B03E6"/>
    <w:rsid w:val="008B1D88"/>
    <w:rsid w:val="008B4156"/>
    <w:rsid w:val="008C71C5"/>
    <w:rsid w:val="008D2A91"/>
    <w:rsid w:val="008E3628"/>
    <w:rsid w:val="008E74BB"/>
    <w:rsid w:val="008F0CA0"/>
    <w:rsid w:val="008F3823"/>
    <w:rsid w:val="008F476D"/>
    <w:rsid w:val="008F50C5"/>
    <w:rsid w:val="00901A0D"/>
    <w:rsid w:val="00903D96"/>
    <w:rsid w:val="009072E9"/>
    <w:rsid w:val="00910467"/>
    <w:rsid w:val="00910D43"/>
    <w:rsid w:val="00911BD8"/>
    <w:rsid w:val="009126CB"/>
    <w:rsid w:val="00930927"/>
    <w:rsid w:val="009366C9"/>
    <w:rsid w:val="0094550C"/>
    <w:rsid w:val="0095039E"/>
    <w:rsid w:val="00950880"/>
    <w:rsid w:val="00951CC5"/>
    <w:rsid w:val="009526EF"/>
    <w:rsid w:val="00960151"/>
    <w:rsid w:val="00960634"/>
    <w:rsid w:val="00962105"/>
    <w:rsid w:val="009671A7"/>
    <w:rsid w:val="00973BFF"/>
    <w:rsid w:val="00974A11"/>
    <w:rsid w:val="00977A6C"/>
    <w:rsid w:val="00977F4C"/>
    <w:rsid w:val="009A4545"/>
    <w:rsid w:val="009A4F42"/>
    <w:rsid w:val="009A683C"/>
    <w:rsid w:val="009A755E"/>
    <w:rsid w:val="009B0775"/>
    <w:rsid w:val="009B21EF"/>
    <w:rsid w:val="009B223A"/>
    <w:rsid w:val="009B7E4D"/>
    <w:rsid w:val="009B7F45"/>
    <w:rsid w:val="009C12C4"/>
    <w:rsid w:val="009C2CA0"/>
    <w:rsid w:val="009D3FB7"/>
    <w:rsid w:val="009D5F44"/>
    <w:rsid w:val="009D6B12"/>
    <w:rsid w:val="009E205E"/>
    <w:rsid w:val="009E4C56"/>
    <w:rsid w:val="009F15BC"/>
    <w:rsid w:val="00A02369"/>
    <w:rsid w:val="00A06787"/>
    <w:rsid w:val="00A211E4"/>
    <w:rsid w:val="00A218F5"/>
    <w:rsid w:val="00A2296B"/>
    <w:rsid w:val="00A24F5C"/>
    <w:rsid w:val="00A2573F"/>
    <w:rsid w:val="00A2791B"/>
    <w:rsid w:val="00A313F9"/>
    <w:rsid w:val="00A31664"/>
    <w:rsid w:val="00A3207C"/>
    <w:rsid w:val="00A35A4D"/>
    <w:rsid w:val="00A419DE"/>
    <w:rsid w:val="00A41F7B"/>
    <w:rsid w:val="00A43C1F"/>
    <w:rsid w:val="00A521E2"/>
    <w:rsid w:val="00A579BE"/>
    <w:rsid w:val="00A612F3"/>
    <w:rsid w:val="00A624BE"/>
    <w:rsid w:val="00A65048"/>
    <w:rsid w:val="00A7108F"/>
    <w:rsid w:val="00A728B7"/>
    <w:rsid w:val="00A72BF6"/>
    <w:rsid w:val="00A77052"/>
    <w:rsid w:val="00A80053"/>
    <w:rsid w:val="00A87BD9"/>
    <w:rsid w:val="00A917C4"/>
    <w:rsid w:val="00A95A6D"/>
    <w:rsid w:val="00AA5D98"/>
    <w:rsid w:val="00AA6494"/>
    <w:rsid w:val="00AA74F1"/>
    <w:rsid w:val="00AB53D7"/>
    <w:rsid w:val="00AB5A3E"/>
    <w:rsid w:val="00AC043B"/>
    <w:rsid w:val="00AC0930"/>
    <w:rsid w:val="00AC3EA1"/>
    <w:rsid w:val="00AD0C4C"/>
    <w:rsid w:val="00AD265B"/>
    <w:rsid w:val="00AD7A6E"/>
    <w:rsid w:val="00AE0EF3"/>
    <w:rsid w:val="00AE67AD"/>
    <w:rsid w:val="00AE6DC3"/>
    <w:rsid w:val="00AF1D56"/>
    <w:rsid w:val="00AF54E0"/>
    <w:rsid w:val="00AF72F4"/>
    <w:rsid w:val="00AF7DC3"/>
    <w:rsid w:val="00B0089F"/>
    <w:rsid w:val="00B10CE0"/>
    <w:rsid w:val="00B11DB2"/>
    <w:rsid w:val="00B1572B"/>
    <w:rsid w:val="00B2266C"/>
    <w:rsid w:val="00B23F41"/>
    <w:rsid w:val="00B25F66"/>
    <w:rsid w:val="00B315CC"/>
    <w:rsid w:val="00B31C3F"/>
    <w:rsid w:val="00B33F1E"/>
    <w:rsid w:val="00B34DB7"/>
    <w:rsid w:val="00B42E82"/>
    <w:rsid w:val="00B43EC8"/>
    <w:rsid w:val="00B50532"/>
    <w:rsid w:val="00B51616"/>
    <w:rsid w:val="00B5301C"/>
    <w:rsid w:val="00B571A3"/>
    <w:rsid w:val="00B63809"/>
    <w:rsid w:val="00B670E8"/>
    <w:rsid w:val="00B6748B"/>
    <w:rsid w:val="00B73149"/>
    <w:rsid w:val="00B741DE"/>
    <w:rsid w:val="00B74875"/>
    <w:rsid w:val="00B76BCB"/>
    <w:rsid w:val="00B77C5B"/>
    <w:rsid w:val="00B931CD"/>
    <w:rsid w:val="00B95EEC"/>
    <w:rsid w:val="00B9717A"/>
    <w:rsid w:val="00BA22CE"/>
    <w:rsid w:val="00BA2E91"/>
    <w:rsid w:val="00BA7042"/>
    <w:rsid w:val="00BB08B6"/>
    <w:rsid w:val="00BB47CF"/>
    <w:rsid w:val="00BC67CC"/>
    <w:rsid w:val="00BD2378"/>
    <w:rsid w:val="00BD4601"/>
    <w:rsid w:val="00BE15AA"/>
    <w:rsid w:val="00BE3288"/>
    <w:rsid w:val="00BE374E"/>
    <w:rsid w:val="00BE4F36"/>
    <w:rsid w:val="00C14042"/>
    <w:rsid w:val="00C227FD"/>
    <w:rsid w:val="00C257DC"/>
    <w:rsid w:val="00C30D6F"/>
    <w:rsid w:val="00C33F75"/>
    <w:rsid w:val="00C44C8F"/>
    <w:rsid w:val="00C519CC"/>
    <w:rsid w:val="00C52F93"/>
    <w:rsid w:val="00C6265A"/>
    <w:rsid w:val="00C66D14"/>
    <w:rsid w:val="00C676B2"/>
    <w:rsid w:val="00C67F1F"/>
    <w:rsid w:val="00C71493"/>
    <w:rsid w:val="00C72DAB"/>
    <w:rsid w:val="00C77399"/>
    <w:rsid w:val="00C841F0"/>
    <w:rsid w:val="00C868A1"/>
    <w:rsid w:val="00C87918"/>
    <w:rsid w:val="00C915D9"/>
    <w:rsid w:val="00C95FA1"/>
    <w:rsid w:val="00CA4A9D"/>
    <w:rsid w:val="00CA6867"/>
    <w:rsid w:val="00CB5517"/>
    <w:rsid w:val="00CB739D"/>
    <w:rsid w:val="00CC57FE"/>
    <w:rsid w:val="00CC6C3A"/>
    <w:rsid w:val="00CD0A39"/>
    <w:rsid w:val="00CD4374"/>
    <w:rsid w:val="00CD6A79"/>
    <w:rsid w:val="00CD7F8B"/>
    <w:rsid w:val="00CE735D"/>
    <w:rsid w:val="00CF15FD"/>
    <w:rsid w:val="00CF5C10"/>
    <w:rsid w:val="00CF6797"/>
    <w:rsid w:val="00D05281"/>
    <w:rsid w:val="00D072ED"/>
    <w:rsid w:val="00D129DF"/>
    <w:rsid w:val="00D1509B"/>
    <w:rsid w:val="00D15CB5"/>
    <w:rsid w:val="00D162AE"/>
    <w:rsid w:val="00D210AC"/>
    <w:rsid w:val="00D216B2"/>
    <w:rsid w:val="00D30087"/>
    <w:rsid w:val="00D328C0"/>
    <w:rsid w:val="00D32B4C"/>
    <w:rsid w:val="00D35F10"/>
    <w:rsid w:val="00D36BF6"/>
    <w:rsid w:val="00D40A4F"/>
    <w:rsid w:val="00D447D1"/>
    <w:rsid w:val="00D46AB2"/>
    <w:rsid w:val="00D46F57"/>
    <w:rsid w:val="00D51D75"/>
    <w:rsid w:val="00D56CB4"/>
    <w:rsid w:val="00D7116F"/>
    <w:rsid w:val="00D777ED"/>
    <w:rsid w:val="00D8183A"/>
    <w:rsid w:val="00D94B23"/>
    <w:rsid w:val="00DA3105"/>
    <w:rsid w:val="00DA7375"/>
    <w:rsid w:val="00DA7D06"/>
    <w:rsid w:val="00DB0121"/>
    <w:rsid w:val="00DB1F24"/>
    <w:rsid w:val="00DB7DAC"/>
    <w:rsid w:val="00DC6006"/>
    <w:rsid w:val="00DD118D"/>
    <w:rsid w:val="00DD7707"/>
    <w:rsid w:val="00DE05AD"/>
    <w:rsid w:val="00DE30D9"/>
    <w:rsid w:val="00DE41CC"/>
    <w:rsid w:val="00DE4436"/>
    <w:rsid w:val="00DF2BF0"/>
    <w:rsid w:val="00E01A21"/>
    <w:rsid w:val="00E04F04"/>
    <w:rsid w:val="00E05353"/>
    <w:rsid w:val="00E0572C"/>
    <w:rsid w:val="00E07BD0"/>
    <w:rsid w:val="00E11284"/>
    <w:rsid w:val="00E161A7"/>
    <w:rsid w:val="00E174B2"/>
    <w:rsid w:val="00E2000C"/>
    <w:rsid w:val="00E271C6"/>
    <w:rsid w:val="00E31175"/>
    <w:rsid w:val="00E4224D"/>
    <w:rsid w:val="00E425D6"/>
    <w:rsid w:val="00E43087"/>
    <w:rsid w:val="00E47F08"/>
    <w:rsid w:val="00E52FCB"/>
    <w:rsid w:val="00E635E3"/>
    <w:rsid w:val="00E64223"/>
    <w:rsid w:val="00E665F9"/>
    <w:rsid w:val="00E67A7A"/>
    <w:rsid w:val="00E76BBE"/>
    <w:rsid w:val="00E774BE"/>
    <w:rsid w:val="00E80085"/>
    <w:rsid w:val="00E82C62"/>
    <w:rsid w:val="00E82F16"/>
    <w:rsid w:val="00E83DCC"/>
    <w:rsid w:val="00E86C62"/>
    <w:rsid w:val="00E96CC1"/>
    <w:rsid w:val="00EA1EB4"/>
    <w:rsid w:val="00EA3C50"/>
    <w:rsid w:val="00EB0D79"/>
    <w:rsid w:val="00EC7EDB"/>
    <w:rsid w:val="00ED049A"/>
    <w:rsid w:val="00ED0A94"/>
    <w:rsid w:val="00ED0DEE"/>
    <w:rsid w:val="00ED1FF9"/>
    <w:rsid w:val="00ED360A"/>
    <w:rsid w:val="00EE5235"/>
    <w:rsid w:val="00EE6DBC"/>
    <w:rsid w:val="00EE7C1A"/>
    <w:rsid w:val="00EF0033"/>
    <w:rsid w:val="00EF611A"/>
    <w:rsid w:val="00EF6FBA"/>
    <w:rsid w:val="00EF7806"/>
    <w:rsid w:val="00F07792"/>
    <w:rsid w:val="00F10249"/>
    <w:rsid w:val="00F16A2F"/>
    <w:rsid w:val="00F229D8"/>
    <w:rsid w:val="00F23160"/>
    <w:rsid w:val="00F237DB"/>
    <w:rsid w:val="00F24C18"/>
    <w:rsid w:val="00F2758F"/>
    <w:rsid w:val="00F319F4"/>
    <w:rsid w:val="00F3381B"/>
    <w:rsid w:val="00F43D9A"/>
    <w:rsid w:val="00F474BD"/>
    <w:rsid w:val="00F544EC"/>
    <w:rsid w:val="00F5601B"/>
    <w:rsid w:val="00F61735"/>
    <w:rsid w:val="00F637B9"/>
    <w:rsid w:val="00F63ED3"/>
    <w:rsid w:val="00F644F0"/>
    <w:rsid w:val="00F71623"/>
    <w:rsid w:val="00F763CD"/>
    <w:rsid w:val="00F767E5"/>
    <w:rsid w:val="00F848D8"/>
    <w:rsid w:val="00F85187"/>
    <w:rsid w:val="00FA26B3"/>
    <w:rsid w:val="00FA44A4"/>
    <w:rsid w:val="00FA762A"/>
    <w:rsid w:val="00FA7999"/>
    <w:rsid w:val="00FB3627"/>
    <w:rsid w:val="00FB5BB4"/>
    <w:rsid w:val="00FB608E"/>
    <w:rsid w:val="00FB6226"/>
    <w:rsid w:val="00FC6925"/>
    <w:rsid w:val="00FC742A"/>
    <w:rsid w:val="00FD0F3A"/>
    <w:rsid w:val="00FD1A88"/>
    <w:rsid w:val="00FD2FE0"/>
    <w:rsid w:val="00FE252B"/>
    <w:rsid w:val="00FF04A0"/>
    <w:rsid w:val="00FF69F3"/>
    <w:rsid w:val="00FF75C5"/>
    <w:rsid w:val="00FF7750"/>
    <w:rsid w:val="00F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C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2E9"/>
    <w:rPr>
      <w:sz w:val="18"/>
      <w:szCs w:val="18"/>
    </w:rPr>
  </w:style>
  <w:style w:type="character" w:customStyle="1" w:styleId="Char">
    <w:name w:val="批注框文本 Char"/>
    <w:basedOn w:val="a0"/>
    <w:link w:val="a3"/>
    <w:uiPriority w:val="99"/>
    <w:semiHidden/>
    <w:rsid w:val="009072E9"/>
    <w:rPr>
      <w:sz w:val="18"/>
      <w:szCs w:val="18"/>
    </w:rPr>
  </w:style>
  <w:style w:type="paragraph" w:styleId="a4">
    <w:name w:val="header"/>
    <w:basedOn w:val="a"/>
    <w:link w:val="Char0"/>
    <w:uiPriority w:val="99"/>
    <w:unhideWhenUsed/>
    <w:rsid w:val="000A1B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0A1BC3"/>
    <w:rPr>
      <w:sz w:val="18"/>
      <w:szCs w:val="18"/>
    </w:rPr>
  </w:style>
  <w:style w:type="paragraph" w:styleId="a5">
    <w:name w:val="footer"/>
    <w:basedOn w:val="a"/>
    <w:link w:val="Char1"/>
    <w:uiPriority w:val="99"/>
    <w:unhideWhenUsed/>
    <w:rsid w:val="000A1B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0A1B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C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2E9"/>
    <w:rPr>
      <w:sz w:val="18"/>
      <w:szCs w:val="18"/>
    </w:rPr>
  </w:style>
  <w:style w:type="character" w:customStyle="1" w:styleId="Char">
    <w:name w:val="批注框文本 Char"/>
    <w:basedOn w:val="a0"/>
    <w:link w:val="a3"/>
    <w:uiPriority w:val="99"/>
    <w:semiHidden/>
    <w:rsid w:val="009072E9"/>
    <w:rPr>
      <w:sz w:val="18"/>
      <w:szCs w:val="18"/>
    </w:rPr>
  </w:style>
  <w:style w:type="paragraph" w:styleId="a4">
    <w:name w:val="header"/>
    <w:basedOn w:val="a"/>
    <w:link w:val="Char0"/>
    <w:uiPriority w:val="99"/>
    <w:unhideWhenUsed/>
    <w:rsid w:val="000A1B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0A1BC3"/>
    <w:rPr>
      <w:sz w:val="18"/>
      <w:szCs w:val="18"/>
    </w:rPr>
  </w:style>
  <w:style w:type="paragraph" w:styleId="a5">
    <w:name w:val="footer"/>
    <w:basedOn w:val="a"/>
    <w:link w:val="Char1"/>
    <w:uiPriority w:val="99"/>
    <w:unhideWhenUsed/>
    <w:rsid w:val="000A1B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0A1B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925</Characters>
  <Application>Microsoft Office Word</Application>
  <DocSecurity>0</DocSecurity>
  <Lines>46</Lines>
  <Paragraphs>35</Paragraphs>
  <ScaleCrop>false</ScaleCrop>
  <Company>微软中国</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未定义</cp:lastModifiedBy>
  <cp:revision>1</cp:revision>
  <dcterms:created xsi:type="dcterms:W3CDTF">2020-12-15T00:59:00Z</dcterms:created>
  <dcterms:modified xsi:type="dcterms:W3CDTF">2020-12-15T00:59:00Z</dcterms:modified>
</cp:coreProperties>
</file>