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pStyle w:val="2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lang w:val="en-US" w:eastAsia="zh-CN"/>
        </w:rPr>
        <w:t>2024年度自治区软科学研究计划（科技</w:t>
      </w:r>
    </w:p>
    <w:p>
      <w:pPr>
        <w:pStyle w:val="2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lang w:val="en-US" w:eastAsia="zh-CN"/>
        </w:rPr>
        <w:t>创新战略研究）项目申报指南</w:t>
      </w:r>
    </w:p>
    <w:p>
      <w:pPr>
        <w:pStyle w:val="2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0" w:firstLineChars="0"/>
        <w:jc w:val="center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  <w:u w:val="none"/>
          <w:lang w:val="en-US" w:eastAsia="zh-CN"/>
        </w:rPr>
      </w:pPr>
    </w:p>
    <w:p>
      <w:pPr>
        <w:pageBreakBefore w:val="0"/>
        <w:widowControl w:val="0"/>
        <w:kinsoku/>
        <w:wordWrap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textAlignment w:val="auto"/>
        <w:rPr>
          <w:rFonts w:hint="eastAsia" w:ascii="仿宋_GB2312" w:hAnsi="仿宋_GB2312" w:cs="仿宋_GB2312"/>
          <w:sz w:val="32"/>
          <w:u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u w:val="none"/>
          <w:lang w:val="en-US" w:eastAsia="zh-CN"/>
        </w:rPr>
        <w:t>科技创新战略研究</w:t>
      </w:r>
      <w:r>
        <w:rPr>
          <w:rFonts w:hint="eastAsia" w:ascii="仿宋_GB2312" w:hAnsi="仿宋_GB2312" w:cs="仿宋_GB2312"/>
          <w:sz w:val="32"/>
          <w:u w:val="none"/>
          <w:lang w:val="en" w:eastAsia="zh-CN"/>
        </w:rPr>
        <w:t>计划项目重点支持科研人员</w:t>
      </w:r>
      <w:r>
        <w:rPr>
          <w:rFonts w:hint="eastAsia" w:ascii="仿宋_GB2312" w:hAnsi="仿宋_GB2312" w:cs="仿宋_GB2312"/>
          <w:sz w:val="32"/>
          <w:u w:val="none"/>
          <w:lang w:val="en-US" w:eastAsia="zh-CN"/>
        </w:rPr>
        <w:t>围绕自治区党委、政府科技创新治理体系和治理能力现代化的决策需求，跟踪最新科技创新动态，开展战略性研究，形成有针对性、有操作性的政策建议，为创新型西藏建设提供理论指导和决策支持。</w:t>
      </w:r>
    </w:p>
    <w:p>
      <w:pPr>
        <w:pageBreakBefore w:val="0"/>
        <w:widowControl w:val="0"/>
        <w:kinsoku/>
        <w:wordWrap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3" w:firstLineChars="200"/>
        <w:textAlignment w:val="auto"/>
        <w:rPr>
          <w:rFonts w:hint="default" w:ascii="仿宋_GB2312" w:hAnsi="仿宋_GB2312" w:cs="仿宋_GB2312"/>
          <w:b/>
          <w:bCs/>
          <w:sz w:val="32"/>
          <w:u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u w:val="none"/>
          <w:lang w:val="en-US" w:eastAsia="zh-CN"/>
        </w:rPr>
        <w:t>方向1：新时代背景下我区科普工作的问题和对策研究</w:t>
      </w:r>
    </w:p>
    <w:p>
      <w:pPr>
        <w:pageBreakBefore w:val="0"/>
        <w:widowControl w:val="0"/>
        <w:kinsoku/>
        <w:wordWrap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textAlignment w:val="auto"/>
        <w:rPr>
          <w:rFonts w:hint="eastAsia" w:ascii="仿宋_GB2312" w:hAnsi="仿宋_GB2312" w:cs="仿宋_GB2312"/>
          <w:sz w:val="32"/>
          <w:u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u w:val="none"/>
          <w:lang w:val="en-US" w:eastAsia="zh-CN"/>
        </w:rPr>
        <w:t>围绕《关于新时代进一步加强科学技术普及工作的意见》主要精神和内容，通过收集科普工作对象、内容、渠道、效果评估及机制等相关数据，开展科普领域重点、热点和难点问题的分析和研究，梳理现阶段我区科普工作存在的问题，开展基于存在问题的对策研究，推动新时代科普工作高质量发展。</w:t>
      </w:r>
    </w:p>
    <w:p>
      <w:pPr>
        <w:pageBreakBefore w:val="0"/>
        <w:widowControl w:val="0"/>
        <w:kinsoku/>
        <w:wordWrap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3" w:firstLineChars="200"/>
        <w:textAlignment w:val="auto"/>
        <w:rPr>
          <w:rFonts w:hint="eastAsia" w:ascii="仿宋_GB2312" w:hAnsi="仿宋_GB2312" w:cs="仿宋_GB2312"/>
          <w:b/>
          <w:bCs/>
          <w:sz w:val="32"/>
          <w:u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u w:val="none"/>
          <w:lang w:val="en-US" w:eastAsia="zh-CN"/>
        </w:rPr>
        <w:t>方向2：科技创新、学科建设与医院高质量发展</w:t>
      </w:r>
    </w:p>
    <w:p>
      <w:pPr>
        <w:pageBreakBefore w:val="0"/>
        <w:widowControl w:val="0"/>
        <w:kinsoku/>
        <w:wordWrap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textAlignment w:val="auto"/>
        <w:rPr>
          <w:rFonts w:hint="eastAsia" w:ascii="仿宋_GB2312" w:hAnsi="仿宋_GB2312" w:cs="仿宋_GB2312"/>
          <w:sz w:val="32"/>
          <w:u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u w:val="none"/>
          <w:lang w:val="en-US" w:eastAsia="zh-CN"/>
        </w:rPr>
        <w:t>面向人民生命健康，借鉴国际国内通过科技创新、学科建设促进医院高质量发展先进经验，从科技项目、人才计划、科研成果、国际交流与合作等方面分析学科建设与医院高质量发展的核心内容，分别形成综合性研究成果和针对西藏的具体研究成果，提出我区学科建设与医院高质量发展的实现途径。</w:t>
      </w:r>
    </w:p>
    <w:p>
      <w:pPr>
        <w:pageBreakBefore w:val="0"/>
        <w:widowControl w:val="0"/>
        <w:kinsoku/>
        <w:wordWrap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3" w:firstLineChars="200"/>
        <w:textAlignment w:val="auto"/>
        <w:rPr>
          <w:rFonts w:hint="eastAsia" w:ascii="仿宋_GB2312" w:hAnsi="仿宋_GB2312" w:cs="仿宋_GB2312"/>
          <w:b/>
          <w:bCs/>
          <w:sz w:val="32"/>
          <w:u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u w:val="none"/>
          <w:lang w:val="en-US" w:eastAsia="zh-CN"/>
        </w:rPr>
        <w:t>方向3：西藏自治区“双碳”实现机制及对策研究</w:t>
      </w:r>
    </w:p>
    <w:p>
      <w:pPr>
        <w:pageBreakBefore w:val="0"/>
        <w:widowControl w:val="0"/>
        <w:kinsoku/>
        <w:wordWrap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textAlignment w:val="auto"/>
        <w:rPr>
          <w:rFonts w:hint="eastAsia" w:ascii="仿宋_GB2312" w:hAnsi="仿宋_GB2312" w:cs="仿宋_GB2312"/>
          <w:sz w:val="32"/>
          <w:u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u w:val="none"/>
          <w:lang w:val="en-US" w:eastAsia="zh-CN"/>
        </w:rPr>
        <w:t>结合自治区实际，深入研究梳理自治区“双碳”工作推进的现状、困难和问题，了解和掌握自治区在资源禀赋、政策制度、发展基础、增长潜力方面的比较优势和功能作用，从经济社会发展全面绿色转型、产业结构优化升级、清洁低碳安全高效能源体系构建等方面，系统性地提出自治区“双碳”实现机制和具有可操作性的政策举措。</w:t>
      </w:r>
    </w:p>
    <w:p>
      <w:pPr>
        <w:pageBreakBefore w:val="0"/>
        <w:widowControl w:val="0"/>
        <w:kinsoku/>
        <w:wordWrap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3" w:firstLineChars="200"/>
        <w:textAlignment w:val="auto"/>
        <w:rPr>
          <w:rFonts w:hint="eastAsia" w:ascii="仿宋_GB2312" w:hAnsi="仿宋_GB2312" w:cs="仿宋_GB2312"/>
          <w:b/>
          <w:bCs/>
          <w:sz w:val="32"/>
          <w:u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u w:val="none"/>
          <w:lang w:val="en-US" w:eastAsia="zh-CN"/>
        </w:rPr>
        <w:t>方向4：基于发明专利的西藏高校科研成果转化提升研究</w:t>
      </w:r>
    </w:p>
    <w:p>
      <w:pPr>
        <w:pageBreakBefore w:val="0"/>
        <w:widowControl w:val="0"/>
        <w:kinsoku/>
        <w:wordWrap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textAlignment w:val="auto"/>
        <w:rPr>
          <w:rFonts w:hint="eastAsia" w:ascii="仿宋_GB2312" w:hAnsi="仿宋_GB2312" w:cs="仿宋_GB2312"/>
          <w:sz w:val="32"/>
          <w:u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u w:val="none"/>
          <w:lang w:val="en-US" w:eastAsia="zh-CN"/>
        </w:rPr>
        <w:t>分析2015年以来西藏高校发明专利数量及种类的变化，研究科研管理政策对发明专利等科研成果转换的提升和促进效果，探索政府与市场力量相结合的科技成果转化模式，研究提出以企业为主体，以市场为导向，企业同科技机构、高校紧密合作的技术创新体系。</w:t>
      </w:r>
    </w:p>
    <w:p>
      <w:pPr>
        <w:pageBreakBefore w:val="0"/>
        <w:widowControl w:val="0"/>
        <w:kinsoku/>
        <w:wordWrap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3" w:firstLineChars="200"/>
        <w:textAlignment w:val="auto"/>
        <w:rPr>
          <w:rFonts w:hint="default" w:ascii="仿宋_GB2312" w:hAnsi="仿宋_GB2312" w:cs="仿宋_GB2312"/>
          <w:b/>
          <w:bCs/>
          <w:sz w:val="32"/>
          <w:u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u w:val="none"/>
          <w:lang w:val="en-US" w:eastAsia="zh-CN"/>
        </w:rPr>
        <w:t>方向5：科普作品微视频的制作及推广研究</w:t>
      </w:r>
    </w:p>
    <w:p>
      <w:pPr>
        <w:pageBreakBefore w:val="0"/>
        <w:widowControl w:val="0"/>
        <w:kinsoku/>
        <w:wordWrap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textAlignment w:val="auto"/>
        <w:rPr>
          <w:rFonts w:hint="eastAsia" w:ascii="仿宋_GB2312" w:hAnsi="仿宋_GB2312" w:cs="仿宋_GB2312"/>
          <w:sz w:val="32"/>
          <w:u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u w:val="none"/>
          <w:lang w:val="en-US" w:eastAsia="zh-CN"/>
        </w:rPr>
        <w:t>围绕普及科技知识，传播科学思想，倡导科学方法，弘扬科学精神，制作推广国家战略、解读前沿科技、回应社会热点、宣传科学人物、释疑生活万象、普及应急知识、澄清科学谣言、构建基础科学知识图谱等8个选题方向的科普作品微视频。</w:t>
      </w:r>
    </w:p>
    <w:p>
      <w:pPr>
        <w:pageBreakBefore w:val="0"/>
        <w:widowControl w:val="0"/>
        <w:kinsoku/>
        <w:wordWrap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3" w:firstLineChars="200"/>
        <w:textAlignment w:val="auto"/>
        <w:rPr>
          <w:rFonts w:hint="eastAsia" w:ascii="仿宋_GB2312" w:hAnsi="仿宋_GB2312" w:cs="仿宋_GB2312"/>
          <w:b/>
          <w:bCs/>
          <w:sz w:val="32"/>
          <w:u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u w:val="none"/>
          <w:lang w:val="en-US" w:eastAsia="zh-CN"/>
        </w:rPr>
        <w:t>方向6：西藏科技管理与体制机制改革对策研究</w:t>
      </w:r>
    </w:p>
    <w:p>
      <w:pPr>
        <w:pageBreakBefore w:val="0"/>
        <w:widowControl w:val="0"/>
        <w:kinsoku/>
        <w:wordWrap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textAlignment w:val="auto"/>
        <w:rPr>
          <w:rFonts w:hint="default" w:ascii="仿宋_GB2312" w:hAnsi="仿宋_GB2312" w:cs="仿宋_GB2312"/>
          <w:sz w:val="32"/>
          <w:u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u w:val="none"/>
          <w:lang w:val="en-US" w:eastAsia="zh-CN"/>
        </w:rPr>
        <w:t>系统梳理我区科技管理历史沿革，总结各阶段科技管理成效。围绕科技行政管理部门职责，调查了解科技部与内地省份科技部门改革思路，结合科技管理中痛、难、堵点问题，提出我区科技管理与体制机制改革对策建议。</w:t>
      </w:r>
    </w:p>
    <w:p>
      <w:pPr>
        <w:pageBreakBefore w:val="0"/>
        <w:widowControl w:val="0"/>
        <w:kinsoku/>
        <w:wordWrap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3" w:firstLineChars="200"/>
        <w:textAlignment w:val="auto"/>
        <w:rPr>
          <w:rFonts w:hint="eastAsia" w:ascii="仿宋_GB2312" w:hAnsi="仿宋_GB2312" w:cs="仿宋_GB2312"/>
          <w:b/>
          <w:bCs/>
          <w:sz w:val="32"/>
          <w:u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u w:val="none"/>
          <w:lang w:val="en-US" w:eastAsia="zh-CN"/>
        </w:rPr>
        <w:t>方向7：“一带一路”背景下西藏与南亚国家科技合作提升路径研究</w:t>
      </w:r>
    </w:p>
    <w:p>
      <w:pPr>
        <w:pageBreakBefore w:val="0"/>
        <w:widowControl w:val="0"/>
        <w:kinsoku/>
        <w:wordWrap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textAlignment w:val="auto"/>
        <w:rPr>
          <w:rFonts w:hint="eastAsia" w:ascii="仿宋_GB2312" w:hAnsi="仿宋_GB2312" w:cs="仿宋_GB2312"/>
          <w:sz w:val="32"/>
          <w:u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u w:val="none"/>
          <w:lang w:val="en-US" w:eastAsia="zh-CN"/>
        </w:rPr>
        <w:t>研究梳理我区在“一带一路”倡议背景下与南亚国家开展科技合作的背景、现状、成就、经验，南亚国家相关科技事业发展情况，周边省份与南亚国家科技合作的模式、手段、经验和不足之处，总结我区与南亚国家科技合作的不足和制约因素，提出西藏与南亚国家科技合作的提升对策和建议。</w:t>
      </w:r>
    </w:p>
    <w:p>
      <w:pPr>
        <w:pageBreakBefore w:val="0"/>
        <w:widowControl w:val="0"/>
        <w:kinsoku/>
        <w:wordWrap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3" w:firstLineChars="200"/>
        <w:textAlignment w:val="auto"/>
        <w:rPr>
          <w:rFonts w:hint="eastAsia" w:ascii="仿宋_GB2312" w:hAnsi="仿宋_GB2312" w:cs="仿宋_GB2312"/>
          <w:b/>
          <w:bCs/>
          <w:sz w:val="32"/>
          <w:u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u w:val="none"/>
          <w:lang w:val="en-US" w:eastAsia="zh-CN"/>
        </w:rPr>
        <w:t>方向8：西藏21个边境县科技创新路径研究</w:t>
      </w:r>
    </w:p>
    <w:p>
      <w:pPr>
        <w:pageBreakBefore w:val="0"/>
        <w:widowControl w:val="0"/>
        <w:kinsoku/>
        <w:wordWrap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textAlignment w:val="auto"/>
        <w:rPr>
          <w:rFonts w:hint="eastAsia" w:ascii="仿宋_GB2312" w:hAnsi="仿宋_GB2312" w:cs="仿宋_GB2312"/>
          <w:sz w:val="32"/>
          <w:u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u w:val="none"/>
          <w:lang w:val="en-US" w:eastAsia="zh-CN"/>
        </w:rPr>
        <w:t>围绕新发展格局下西藏边境21县科技创新的新机遇新使命、西藏21个边境县科技创新整体情况、西藏21个边境县科技创新存在的问题和短板等开展系统研究，提出西藏21个边境县科技创新路径建议。</w:t>
      </w:r>
    </w:p>
    <w:p>
      <w:pPr>
        <w:pageBreakBefore w:val="0"/>
        <w:widowControl w:val="0"/>
        <w:kinsoku/>
        <w:wordWrap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3" w:firstLineChars="200"/>
        <w:textAlignment w:val="auto"/>
        <w:rPr>
          <w:rFonts w:hint="eastAsia" w:ascii="仿宋_GB2312" w:hAnsi="仿宋_GB2312" w:cs="仿宋_GB2312"/>
          <w:b/>
          <w:bCs/>
          <w:sz w:val="32"/>
          <w:u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u w:val="none"/>
          <w:lang w:val="en-US" w:eastAsia="zh-CN"/>
        </w:rPr>
        <w:t>方向9：新时期西藏区域创新体系迭代升级对策研究</w:t>
      </w:r>
    </w:p>
    <w:p>
      <w:pPr>
        <w:pageBreakBefore w:val="0"/>
        <w:widowControl w:val="0"/>
        <w:kinsoku/>
        <w:wordWrap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textAlignment w:val="auto"/>
        <w:rPr>
          <w:rFonts w:hint="eastAsia" w:ascii="仿宋_GB2312" w:hAnsi="仿宋_GB2312" w:cs="仿宋_GB2312"/>
          <w:sz w:val="32"/>
          <w:u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u w:val="none"/>
          <w:lang w:val="en-US" w:eastAsia="zh-CN"/>
        </w:rPr>
        <w:t>结合自治区“十四五”规划和2035年远景目标，调查分析西藏区域创新体系的现状问题和优势特色，研究提出推动西藏区域创新体系迭代升级的对策建议。</w:t>
      </w:r>
    </w:p>
    <w:p>
      <w:pPr>
        <w:pageBreakBefore w:val="0"/>
        <w:widowControl w:val="0"/>
        <w:kinsoku/>
        <w:wordWrap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cs="仿宋_GB2312"/>
          <w:sz w:val="32"/>
          <w:u w:val="none"/>
          <w:lang w:val="en-US" w:eastAsia="zh-CN"/>
        </w:rPr>
        <w:t>以上每个研究方向项目平均资助强度原则上不超过20万元，研究期限原则上不超过1年。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BCF2819-AEAB-4F1C-8E44-F6C7188BDC2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DCDBA2D-0ABD-4A1C-BE69-00E92248FB68}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D158C441-446A-447D-B366-83884C90C37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9AEF5A64-036F-4FF9-9CEE-2AAB75C1C15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OTlhYzM5MjMwNTA4Yjk1ZDU3MGNhOThmNzU5NWEifQ=="/>
  </w:docVars>
  <w:rsids>
    <w:rsidRoot w:val="59E60079"/>
    <w:rsid w:val="028D5673"/>
    <w:rsid w:val="0BC47C2C"/>
    <w:rsid w:val="0BFC7D01"/>
    <w:rsid w:val="3474193F"/>
    <w:rsid w:val="589715D5"/>
    <w:rsid w:val="59E60079"/>
    <w:rsid w:val="5AF5675A"/>
    <w:rsid w:val="63846BFA"/>
    <w:rsid w:val="73C5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76" w:lineRule="exact"/>
      <w:ind w:firstLine="883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eastAsia="宋体-PUA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customStyle="1" w:styleId="6">
    <w:name w:val="Endnote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1395</Words>
  <Characters>1410</Characters>
  <Lines>0</Lines>
  <Paragraphs>0</Paragraphs>
  <TotalTime>1</TotalTime>
  <ScaleCrop>false</ScaleCrop>
  <LinksUpToDate>false</LinksUpToDate>
  <CharactersWithSpaces>1410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2023-06-05T12:02:00Z</dcterms:created>
  <dc:creator>雪域浪子གངས་ལྗོངས་</dc:creator>
  <cp:lastModifiedBy>刺客</cp:lastModifiedBy>
  <dcterms:modified xsi:type="dcterms:W3CDTF">2023-06-06T06:44:10Z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0D186A24863F4C82962277D8AD25A49B_13</vt:lpwstr>
  </property>
</Properties>
</file>