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widowControl/>
        <w:spacing w:line="560" w:lineRule="exact"/>
        <w:ind w:left="692" w:right="692"/>
        <w:jc w:val="center"/>
        <w:outlineLvl w:val="1"/>
        <w:rPr>
          <w:rFonts w:ascii="方正小标宋简体" w:hAnsi="方正小标宋简体" w:eastAsia="方正小标宋简体" w:cs="方正小标宋简体"/>
          <w:color w:val="000000"/>
          <w:sz w:val="44"/>
          <w:szCs w:val="44"/>
        </w:rPr>
      </w:pPr>
    </w:p>
    <w:p>
      <w:pPr>
        <w:widowControl/>
        <w:spacing w:line="560" w:lineRule="exact"/>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ascii="方正小标宋简体" w:hAnsi="方正小标宋简体" w:eastAsia="方正小标宋简体" w:cs="方正小标宋简体"/>
          <w:color w:val="000000"/>
          <w:sz w:val="44"/>
          <w:szCs w:val="44"/>
        </w:rPr>
        <w:t>4</w:t>
      </w:r>
      <w:r>
        <w:rPr>
          <w:rFonts w:hint="eastAsia" w:ascii="方正小标宋简体" w:hAnsi="方正小标宋简体" w:eastAsia="方正小标宋简体" w:cs="方正小标宋简体"/>
          <w:color w:val="000000"/>
          <w:sz w:val="44"/>
          <w:szCs w:val="44"/>
        </w:rPr>
        <w:t>年度国家社会科学基金艺术学项目</w:t>
      </w:r>
    </w:p>
    <w:p>
      <w:pPr>
        <w:widowControl/>
        <w:spacing w:line="560" w:lineRule="exact"/>
        <w:ind w:right="692"/>
        <w:jc w:val="center"/>
        <w:outlineLvl w:val="1"/>
        <w:rPr>
          <w:rFonts w:ascii="宋体" w:hAnsi="宋体" w:eastAsia="宋体" w:cs="Times New Roman"/>
          <w:color w:val="000000"/>
          <w:kern w:val="0"/>
          <w:sz w:val="44"/>
          <w:szCs w:val="44"/>
        </w:rPr>
      </w:pPr>
      <w:r>
        <w:rPr>
          <w:rFonts w:hint="eastAsia" w:ascii="方正小标宋简体" w:hAnsi="方正小标宋简体" w:eastAsia="方正小标宋简体" w:cs="方正小标宋简体"/>
          <w:color w:val="000000"/>
          <w:sz w:val="44"/>
          <w:szCs w:val="44"/>
        </w:rPr>
        <w:t>申报公告</w:t>
      </w:r>
    </w:p>
    <w:p>
      <w:pPr>
        <w:spacing w:line="560" w:lineRule="exact"/>
        <w:ind w:firstLine="640" w:firstLineChars="200"/>
        <w:rPr>
          <w:rFonts w:ascii="仿宋" w:hAnsi="仿宋" w:eastAsia="仿宋" w:cs="仿宋"/>
          <w:color w:val="000000"/>
          <w:sz w:val="32"/>
          <w:szCs w:val="32"/>
        </w:rPr>
      </w:pP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经文化和旅游部和全国艺术科学规划领导小组批准，2024年度国家社科基金艺术学项目即将开始申报。现将申报工作有关事项公告如下：</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一、2024年度国家社科基金项目申报和评审工作，坚持以习近平新时代中国特色社会主义思想为指导，全面贯彻落实党的二十大精神，深刻领悟习近平文化思想，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艺术学学科体系、学术体系、话语体系建设，着力推进文化自信自强、促进新时代文化艺术高质量发展，为党和国家工作大局服务。</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二、《2024年度国家社科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三、申报国家社科基金艺术学项目，要体现鲜明的时代特征、问题导向和创新意识，着力推出代表正确方向、体现国家水准的研究成果。基础研究要密切跟踪国内外学术发展和学科建设的前沿和动态，着力推进学科体系、学术体系、话语体系创新，具有主体性、原创性和较高的学术思想价值；应用研究要立足党和国家事业发展需要，聚焦文化艺术发展中的全局性、战略性和前瞻性的重大理论与实践问题，具有现实性、针对性和较高的决策参考价值。</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1989年3月15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七、本年度国家社科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八、2024年度国家社科基金艺术学项目继续实行限额申报，各省（区、市）全国艺术科学规划项目中级管理单位、文化和旅游部直属单位及共建院校可直接登录“全国艺术科学规划项目管理平台”（以下简称“项目管理平台”，网址：https://yskx.mct.gov.cn）查看本地区（本单位）限额指标。各中级管理单位可根据申请单位近年来项目申报、立项及科研管理等情况，核定其申报名额，同时加强对申报项目的审核管理，按照下达的限额申报数审核上报。申请单位要从严控制申报数量，减少同类选题重复申报，特别是要加大对青年项目的支持力度。</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九、国家社科基金艺术学项目的完成时限，基础理论研究一般为3—5年，应用对策研究一般为2—3年。</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为避免一题多报、交叉申请和重复立项，确保申请人有足够的时间和精力从事课题研究，2024年度国家社科基金艺术学项目申请作如下限定：（1）课题负责人同年度只能申报一个国家社科基金艺术学项目，且不能作为课题组成员参与其他国家社科基金艺术学项目的申请；课题组成员同年度最多参与两个国家社科基金艺术学项目申请；在研国家级项目的课题组成员最多参与一个国家社科基金艺术学项目申请。（2）在研的国家社科基金各类项目、国家自然科学基金项目及其他国家级科研项目的负责人不得申请新的国家社科基金艺术学项目（结项证书标注日期在2024年3月15日之前的，或在3月15日前已向我办提交结项材料的，可以申请本年度项目。后者具体日期以各地中级管理单位提交结项材料时间为准）。（3）申请国家社科基金项目、国家自然科学基金项目及其他国家级科研项目的负责人同年度不能申请国家社科基金艺术学项目，其课题组成员也不能作为负责人以内容相同或相近选题申请国家社科基金艺术学项目。（4）申请2024年度教育部人文社会科学研究一般项目的负责人同年度不能申请国家社科基金艺术学项目。（5）不得通过变换责任单位回避前述（1）—（4）条款规定，不得将内容基本相同或相近的申报材料以不同申请人的名义提出申请。（6）凡在内容上与在研或已结项的各类国家级科研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科基金艺术学项目，须在申请时注明所申请项目与学位论文（出站报告）的联系和区别，申请鉴定结项时须提交学位论文（出站报告）原件。（8）不得以与已出版的内容基本相同的研究成果申请国家社科基金艺术学项目。（9）凡以国家社科基金艺术学项目名义发表阶段性成果或最终成果，不得同时标注多家基金项目资助字样。（10）预期成果需达到国家级项目应有体量。</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十一、2024年度国家社科基金艺术学项目继续实行网上申报。请申请人登录项目管理平台，按照有关说明注册帐号并提交申报材料。</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科基金艺术学项目。凡在项目申报和评审中发现严重违规违纪行为的，除按规定进行处理外，均列入不良科研信用记录。</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四、项目负责人在项目执行期间要遵守相关承诺，履行约定义务，按期完成研究任务，结项成果形式原则上须与预期成果一致；如课题获准立项，项目管理平台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五、除文化和旅游部直属单位及共建院校外，国家社科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管理平台签署明确意见，承担信誉保证。</w:t>
      </w:r>
    </w:p>
    <w:p>
      <w:pPr>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全国艺术科学规划领导小组办公室委托中国艺术科技研究所承担申报材料的受理工作。全国艺术科学规划领导小组办公室不直接受理申报。</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十六、文化和旅游部直属单位及共建院校实行2级申报制度，申报课题经本单位审核后，通过申报管理平台直接提交至中国艺术科技研究所。</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十七、课题申报相关文件材料，包括《2024年度国家社科基金艺术学项目课题指南》《国家社会科学基金项目资金管理办法》《全国艺术科学规划项目管理办法》《历年立项课题汇编》等，可在文化和旅游部网站或申报管理平台主页上查询、下载。</w:t>
      </w:r>
      <w:r>
        <w:rPr>
          <w:rFonts w:ascii="Calibri" w:hAnsi="Calibri" w:eastAsia="仿宋" w:cs="Calibri"/>
          <w:color w:val="000000"/>
          <w:kern w:val="0"/>
          <w:sz w:val="32"/>
          <w:szCs w:val="32"/>
          <w:shd w:val="clear" w:color="auto" w:fill="FFFFFF"/>
          <w:lang w:bidi="ar"/>
        </w:rPr>
        <w:t> </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w:t>
      </w:r>
      <w:bookmarkStart w:id="0" w:name="_GoBack"/>
      <w:bookmarkEnd w:id="0"/>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咨询电话：010-87930753 姚宇航</w:t>
      </w:r>
    </w:p>
    <w:p>
      <w:pPr>
        <w:widowControl/>
        <w:shd w:val="clear" w:color="auto" w:fill="FFFFFF"/>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邮箱：qgyskxghb@163.com（请优先通过邮箱咨询申报问题）</w:t>
      </w:r>
    </w:p>
    <w:p>
      <w:pPr>
        <w:widowControl/>
        <w:shd w:val="clear" w:color="auto" w:fill="FFFFFF"/>
        <w:spacing w:line="560" w:lineRule="exac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　　特此公告。</w:t>
      </w:r>
    </w:p>
    <w:p>
      <w:pPr>
        <w:widowControl/>
        <w:shd w:val="clear" w:color="auto" w:fill="FFFFFF"/>
        <w:spacing w:line="560" w:lineRule="exact"/>
        <w:rPr>
          <w:rFonts w:ascii="仿宋" w:hAnsi="仿宋" w:eastAsia="仿宋" w:cs="仿宋"/>
          <w:color w:val="000000"/>
          <w:sz w:val="32"/>
          <w:szCs w:val="32"/>
        </w:rPr>
      </w:pPr>
    </w:p>
    <w:p>
      <w:pPr>
        <w:widowControl/>
        <w:shd w:val="clear" w:color="auto" w:fill="FFFFFF"/>
        <w:spacing w:line="560" w:lineRule="exact"/>
        <w:jc w:val="center"/>
        <w:rPr>
          <w:rFonts w:ascii="仿宋" w:hAnsi="仿宋" w:eastAsia="仿宋" w:cs="仿宋"/>
          <w:color w:val="000000"/>
          <w:sz w:val="32"/>
          <w:szCs w:val="32"/>
        </w:rPr>
      </w:pPr>
      <w:r>
        <w:rPr>
          <w:rFonts w:ascii="仿宋" w:hAnsi="仿宋" w:eastAsia="仿宋" w:cs="仿宋"/>
          <w:color w:val="000000"/>
          <w:kern w:val="0"/>
          <w:sz w:val="32"/>
          <w:szCs w:val="32"/>
          <w:shd w:val="clear" w:color="auto" w:fill="FFFFFF"/>
          <w:lang w:bidi="ar"/>
        </w:rPr>
        <w:t xml:space="preserve">                           </w:t>
      </w:r>
      <w:r>
        <w:rPr>
          <w:rFonts w:hint="eastAsia" w:ascii="仿宋" w:hAnsi="仿宋" w:eastAsia="仿宋" w:cs="仿宋"/>
          <w:color w:val="000000"/>
          <w:kern w:val="0"/>
          <w:sz w:val="32"/>
          <w:szCs w:val="32"/>
          <w:shd w:val="clear" w:color="auto" w:fill="FFFFFF"/>
          <w:lang w:bidi="ar"/>
        </w:rPr>
        <w:t>文化和旅游部科技教育司</w:t>
      </w:r>
      <w:r>
        <w:rPr>
          <w:rFonts w:ascii="Calibri" w:hAnsi="Calibri" w:eastAsia="仿宋" w:cs="Calibri"/>
          <w:color w:val="000000"/>
          <w:kern w:val="0"/>
          <w:sz w:val="32"/>
          <w:szCs w:val="32"/>
          <w:shd w:val="clear" w:color="auto" w:fill="FFFFFF"/>
          <w:lang w:bidi="ar"/>
        </w:rPr>
        <w:t> </w:t>
      </w:r>
      <w:r>
        <w:rPr>
          <w:rFonts w:hint="eastAsia" w:ascii="仿宋" w:hAnsi="仿宋" w:eastAsia="仿宋" w:cs="仿宋"/>
          <w:color w:val="000000"/>
          <w:kern w:val="0"/>
          <w:sz w:val="32"/>
          <w:szCs w:val="32"/>
          <w:shd w:val="clear" w:color="auto" w:fill="FFFFFF"/>
          <w:lang w:bidi="ar"/>
        </w:rPr>
        <w:t xml:space="preserve"> </w:t>
      </w:r>
      <w:r>
        <w:rPr>
          <w:rFonts w:ascii="Calibri" w:hAnsi="Calibri" w:eastAsia="仿宋" w:cs="Calibri"/>
          <w:color w:val="000000"/>
          <w:kern w:val="0"/>
          <w:sz w:val="32"/>
          <w:szCs w:val="32"/>
          <w:shd w:val="clear" w:color="auto" w:fill="FFFFFF"/>
          <w:lang w:bidi="ar"/>
        </w:rPr>
        <w:t> </w:t>
      </w:r>
    </w:p>
    <w:p>
      <w:pPr>
        <w:widowControl/>
        <w:shd w:val="clear" w:color="auto" w:fill="FFFFFF"/>
        <w:spacing w:line="560" w:lineRule="exact"/>
        <w:jc w:val="righ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　　全国艺术科学规划领导小组办公室</w:t>
      </w:r>
    </w:p>
    <w:p>
      <w:pPr>
        <w:jc w:val="right"/>
      </w:pPr>
      <w:r>
        <w:rPr>
          <w:rFonts w:hint="eastAsia" w:ascii="仿宋" w:hAnsi="仿宋" w:eastAsia="仿宋" w:cs="仿宋"/>
          <w:color w:val="000000"/>
          <w:kern w:val="0"/>
          <w:sz w:val="32"/>
          <w:szCs w:val="32"/>
          <w:shd w:val="clear" w:color="auto" w:fill="FFFFFF"/>
          <w:lang w:bidi="ar"/>
        </w:rPr>
        <w:t>　　2023年2月</w:t>
      </w:r>
      <w:r>
        <w:rPr>
          <w:rFonts w:ascii="仿宋" w:hAnsi="仿宋" w:eastAsia="仿宋" w:cs="仿宋"/>
          <w:color w:val="000000"/>
          <w:kern w:val="0"/>
          <w:sz w:val="32"/>
          <w:szCs w:val="32"/>
          <w:shd w:val="clear" w:color="auto" w:fill="FFFFFF"/>
          <w:lang w:bidi="ar"/>
        </w:rPr>
        <w:t>7</w:t>
      </w:r>
      <w:r>
        <w:rPr>
          <w:rFonts w:hint="eastAsia" w:ascii="仿宋" w:hAnsi="仿宋" w:eastAsia="仿宋" w:cs="仿宋"/>
          <w:color w:val="000000"/>
          <w:kern w:val="0"/>
          <w:sz w:val="32"/>
          <w:szCs w:val="32"/>
          <w:shd w:val="clear" w:color="auto" w:fill="FFFFFF"/>
          <w:lang w:bidi="ar"/>
        </w:rPr>
        <w:t xml:space="preserve">日  </w:t>
      </w:r>
      <w:r>
        <w:rPr>
          <w:rFonts w:hint="eastAsia" w:ascii="宋体" w:hAnsi="宋体" w:eastAsia="宋体" w:cs="宋体"/>
          <w:color w:val="000000"/>
          <w:kern w:val="0"/>
          <w:sz w:val="32"/>
          <w:szCs w:val="32"/>
          <w:shd w:val="clear" w:color="auto" w:fill="FFFFFF"/>
          <w:lang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2010600030101010101"/>
    <w:charset w:val="86"/>
    <w:family w:val="auto"/>
    <w:pitch w:val="default"/>
    <w:sig w:usb0="00000000" w:usb1="00000000" w:usb2="00000016" w:usb3="00000000" w:csb0="0004000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方正小标宋简体">
    <w:altName w:val="方正书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苹方-简">
    <w:panose1 w:val="020B0400000000000000"/>
    <w:charset w:val="86"/>
    <w:family w:val="auto"/>
    <w:pitch w:val="default"/>
    <w:sig w:usb0="A00002FF" w:usb1="7ACFFDFB" w:usb2="00000017" w:usb3="00000000" w:csb0="00040001" w:csb1="00000000"/>
  </w:font>
  <w:font w:name="黑体-简">
    <w:panose1 w:val="00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FE"/>
    <w:rsid w:val="003655EF"/>
    <w:rsid w:val="004601FE"/>
    <w:rsid w:val="0071015E"/>
    <w:rsid w:val="007476CD"/>
    <w:rsid w:val="00814000"/>
    <w:rsid w:val="00C4364A"/>
    <w:rsid w:val="ED7DE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661</Words>
  <Characters>3771</Characters>
  <Lines>31</Lines>
  <Paragraphs>8</Paragraphs>
  <TotalTime>3</TotalTime>
  <ScaleCrop>false</ScaleCrop>
  <LinksUpToDate>false</LinksUpToDate>
  <CharactersWithSpaces>4424</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2024-02-18T22:09:00Z</dcterms:created>
  <dc:creator>lenovo</dc:creator>
  <cp:lastModifiedBy>moon</cp:lastModifiedBy>
  <dcterms:modified xsi:type="dcterms:W3CDTF">2024-02-19T13:06:28Z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4D0B25814B09D4A2D4E1D2650FE9BD70_42</vt:lpwstr>
  </property>
</Properties>
</file>